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1C1" w:rsidRDefault="003F71C1">
      <w:pPr>
        <w:jc w:val="center"/>
        <w:rPr>
          <w:rFonts w:ascii="方正小标宋简体" w:eastAsia="方正小标宋简体" w:hAnsi="方正小标宋简体" w:cs="Times New Roman"/>
          <w:b/>
          <w:bCs/>
          <w:sz w:val="13"/>
          <w:szCs w:val="13"/>
        </w:rPr>
      </w:pPr>
      <w:r>
        <w:rPr>
          <w:rFonts w:ascii="方正小标宋简体" w:eastAsia="方正小标宋简体" w:hAnsi="方正小标宋简体" w:cs="方正小标宋简体" w:hint="eastAsia"/>
          <w:b/>
          <w:bCs/>
          <w:sz w:val="44"/>
          <w:szCs w:val="44"/>
        </w:rPr>
        <w:t>无车承运信息系统需求方案</w:t>
      </w:r>
    </w:p>
    <w:p w:rsidR="003F71C1" w:rsidRDefault="003F71C1">
      <w:pPr>
        <w:jc w:val="center"/>
        <w:rPr>
          <w:rFonts w:ascii="方正小标宋简体" w:eastAsia="方正小标宋简体" w:hAnsi="方正小标宋简体" w:cs="Times New Roman"/>
          <w:b/>
          <w:bCs/>
          <w:sz w:val="13"/>
          <w:szCs w:val="13"/>
        </w:rPr>
      </w:pPr>
    </w:p>
    <w:p w:rsidR="003F71C1" w:rsidRDefault="003F71C1">
      <w:pPr>
        <w:pStyle w:val="ListParagraph"/>
        <w:snapToGrid w:val="0"/>
        <w:ind w:firstLineChars="0" w:firstLine="0"/>
        <w:rPr>
          <w:rFonts w:ascii="仿宋_GB2312" w:eastAsia="仿宋_GB2312" w:hAnsi="仿宋_GB2312" w:cs="Times New Roman"/>
          <w:sz w:val="32"/>
          <w:szCs w:val="32"/>
        </w:rPr>
      </w:pPr>
      <w:r>
        <w:rPr>
          <w:rFonts w:ascii="黑体" w:eastAsia="黑体" w:hAnsi="黑体" w:cs="黑体" w:hint="eastAsia"/>
          <w:sz w:val="32"/>
          <w:szCs w:val="32"/>
        </w:rPr>
        <w:t>一</w:t>
      </w:r>
      <w:r>
        <w:rPr>
          <w:rFonts w:ascii="黑体" w:eastAsia="黑体" w:hAnsi="黑体" w:cs="黑体"/>
          <w:sz w:val="32"/>
          <w:szCs w:val="32"/>
        </w:rPr>
        <w:t>.</w:t>
      </w:r>
      <w:r>
        <w:rPr>
          <w:rFonts w:ascii="黑体" w:eastAsia="黑体" w:hAnsi="黑体" w:cs="黑体" w:hint="eastAsia"/>
          <w:sz w:val="32"/>
          <w:szCs w:val="32"/>
        </w:rPr>
        <w:t>系统建设目标</w:t>
      </w:r>
    </w:p>
    <w:p w:rsidR="003F71C1" w:rsidRDefault="003F71C1" w:rsidP="00631C56">
      <w:pPr>
        <w:snapToGrid w:val="0"/>
        <w:ind w:firstLineChars="200" w:firstLine="31680"/>
        <w:rPr>
          <w:rFonts w:ascii="仿宋" w:eastAsia="仿宋" w:hAnsi="仿宋" w:cs="Times New Roman"/>
          <w:color w:val="000000"/>
          <w:sz w:val="28"/>
          <w:szCs w:val="28"/>
        </w:rPr>
      </w:pPr>
      <w:r>
        <w:rPr>
          <w:rFonts w:ascii="仿宋" w:eastAsia="仿宋" w:hAnsi="仿宋" w:cs="仿宋" w:hint="eastAsia"/>
          <w:color w:val="000000"/>
          <w:sz w:val="28"/>
          <w:szCs w:val="28"/>
        </w:rPr>
        <w:t>基于巢湖市飞雁物流有限责任公司内部运输业务管理流程，兼顾未来拓展社会化大物流的发展趋势，综合运用包括大数据、云计算及移动互联等先进信息技术，建立巢湖市飞雁物流有限责任公司自主运营管理的运输业务信息管理系统。</w:t>
      </w:r>
    </w:p>
    <w:p w:rsidR="003F71C1" w:rsidRDefault="003F71C1" w:rsidP="00631C56">
      <w:pPr>
        <w:widowControl/>
        <w:spacing w:before="120" w:after="120" w:line="288" w:lineRule="auto"/>
        <w:ind w:firstLineChars="200" w:firstLine="31680"/>
        <w:rPr>
          <w:rFonts w:ascii="仿宋" w:eastAsia="仿宋" w:hAnsi="仿宋" w:cs="Times New Roman"/>
          <w:color w:val="000000"/>
          <w:sz w:val="28"/>
          <w:szCs w:val="28"/>
        </w:rPr>
      </w:pPr>
      <w:r>
        <w:rPr>
          <w:rFonts w:ascii="仿宋" w:eastAsia="仿宋" w:hAnsi="仿宋" w:cs="仿宋" w:hint="eastAsia"/>
          <w:color w:val="000000"/>
          <w:sz w:val="28"/>
          <w:szCs w:val="28"/>
        </w:rPr>
        <w:t>通过系统应用，细化角色与权限划分，实现运输业务全过程多角色协同参与；全面的角色及业务基础信息采集及审核、丰富的物流操作应用场景、规范的业务处理表单、便捷的业务操作流程，实现信息共享与互联，系统化、规范化、流程化的过程管控；提供丰富的数据报表及图形化结果展示，满足业务数据的查询、统计、分析；满足</w:t>
      </w:r>
      <w:r>
        <w:rPr>
          <w:rFonts w:ascii="仿宋" w:eastAsia="仿宋" w:hAnsi="仿宋" w:cs="仿宋"/>
          <w:color w:val="000000"/>
          <w:sz w:val="28"/>
          <w:szCs w:val="28"/>
        </w:rPr>
        <w:t>PC</w:t>
      </w:r>
      <w:r>
        <w:rPr>
          <w:rFonts w:ascii="仿宋" w:eastAsia="仿宋" w:hAnsi="仿宋" w:cs="仿宋" w:hint="eastAsia"/>
          <w:color w:val="000000"/>
          <w:sz w:val="28"/>
          <w:szCs w:val="28"/>
        </w:rPr>
        <w:t>端、微信公众</w:t>
      </w:r>
      <w:r>
        <w:rPr>
          <w:rFonts w:ascii="仿宋" w:eastAsia="仿宋" w:hAnsi="仿宋" w:cs="仿宋"/>
          <w:color w:val="000000"/>
          <w:sz w:val="28"/>
          <w:szCs w:val="28"/>
        </w:rPr>
        <w:t>/</w:t>
      </w:r>
      <w:r>
        <w:rPr>
          <w:rFonts w:ascii="仿宋" w:eastAsia="仿宋" w:hAnsi="仿宋" w:cs="仿宋" w:hint="eastAsia"/>
          <w:color w:val="000000"/>
          <w:sz w:val="28"/>
          <w:szCs w:val="28"/>
        </w:rPr>
        <w:t>服务号、</w:t>
      </w:r>
      <w:r>
        <w:rPr>
          <w:rFonts w:ascii="仿宋" w:eastAsia="仿宋" w:hAnsi="仿宋" w:cs="仿宋"/>
          <w:color w:val="000000"/>
          <w:sz w:val="28"/>
          <w:szCs w:val="28"/>
        </w:rPr>
        <w:t>APP</w:t>
      </w:r>
      <w:r>
        <w:rPr>
          <w:rFonts w:ascii="仿宋" w:eastAsia="仿宋" w:hAnsi="仿宋" w:cs="仿宋" w:hint="eastAsia"/>
          <w:color w:val="000000"/>
          <w:sz w:val="28"/>
          <w:szCs w:val="28"/>
        </w:rPr>
        <w:t>客户端（</w:t>
      </w:r>
      <w:r>
        <w:rPr>
          <w:rFonts w:ascii="仿宋" w:eastAsia="仿宋" w:hAnsi="仿宋" w:cs="仿宋"/>
          <w:color w:val="000000"/>
          <w:sz w:val="28"/>
          <w:szCs w:val="28"/>
        </w:rPr>
        <w:t>IOS</w:t>
      </w:r>
      <w:r>
        <w:rPr>
          <w:rFonts w:ascii="仿宋" w:eastAsia="仿宋" w:hAnsi="仿宋" w:cs="仿宋" w:hint="eastAsia"/>
          <w:color w:val="000000"/>
          <w:sz w:val="28"/>
          <w:szCs w:val="28"/>
        </w:rPr>
        <w:t>、</w:t>
      </w:r>
      <w:r>
        <w:rPr>
          <w:rFonts w:ascii="仿宋" w:eastAsia="仿宋" w:hAnsi="仿宋" w:cs="仿宋"/>
          <w:color w:val="000000"/>
          <w:sz w:val="28"/>
          <w:szCs w:val="28"/>
        </w:rPr>
        <w:t>Android</w:t>
      </w:r>
      <w:r>
        <w:rPr>
          <w:rFonts w:ascii="仿宋" w:eastAsia="仿宋" w:hAnsi="仿宋" w:cs="仿宋" w:hint="eastAsia"/>
          <w:color w:val="000000"/>
          <w:sz w:val="28"/>
          <w:szCs w:val="28"/>
        </w:rPr>
        <w:t>）等多种方式参与系统的功能处理。系统还应实现与部省级无车承运监管平台相关数据接口的对接，满足国家对无车承运的监督和监管。同时，该系统还应满足以下要求：</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a.</w:t>
      </w:r>
      <w:r>
        <w:rPr>
          <w:rFonts w:ascii="仿宋" w:eastAsia="仿宋" w:hAnsi="仿宋" w:cs="仿宋" w:hint="eastAsia"/>
          <w:color w:val="000000"/>
          <w:sz w:val="28"/>
          <w:szCs w:val="28"/>
        </w:rPr>
        <w:t>适用性要求：适应于目前我司基于无车承运模式开展合同物流管理的需求，以实际操作环境为出发点，提升业务运作的效率，界面友好，操作便捷，易学易用，并能提供产品培训操作说明。</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b.</w:t>
      </w:r>
      <w:r>
        <w:rPr>
          <w:rFonts w:ascii="仿宋" w:eastAsia="仿宋" w:hAnsi="仿宋" w:cs="仿宋" w:hint="eastAsia"/>
          <w:color w:val="000000"/>
          <w:sz w:val="28"/>
          <w:szCs w:val="28"/>
        </w:rPr>
        <w:t>先进性要求：适应目前物流行业管理软件发展的最新趋势，最大程度的数据综合利用，确保系统应用模型、解决方案、信息技术的先进性。</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c.</w:t>
      </w:r>
      <w:r>
        <w:rPr>
          <w:rFonts w:ascii="仿宋" w:eastAsia="仿宋" w:hAnsi="仿宋" w:cs="仿宋" w:hint="eastAsia"/>
          <w:color w:val="000000"/>
          <w:sz w:val="28"/>
          <w:szCs w:val="28"/>
        </w:rPr>
        <w:t>安全可靠性要求：系统要支持大型数据库，有严格的安全控制和数据备份机制，运行稳定，数据完整、准确。具有权限管理功能，多级安全机制。</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d.</w:t>
      </w:r>
      <w:r>
        <w:rPr>
          <w:rFonts w:ascii="仿宋" w:eastAsia="仿宋" w:hAnsi="仿宋" w:cs="仿宋" w:hint="eastAsia"/>
          <w:color w:val="000000"/>
          <w:sz w:val="28"/>
          <w:szCs w:val="28"/>
        </w:rPr>
        <w:t>稳定性要求：在保证程序执行效率的前提下具有良好的稳定性，便于操作流程的连贯和信息高效、快速传递。</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e</w:t>
      </w:r>
      <w:r>
        <w:rPr>
          <w:rFonts w:ascii="仿宋" w:eastAsia="仿宋" w:hAnsi="仿宋" w:cs="仿宋" w:hint="eastAsia"/>
          <w:color w:val="000000"/>
          <w:sz w:val="28"/>
          <w:szCs w:val="28"/>
        </w:rPr>
        <w:t>维护性要求：系统要能方便快捷的维护、升级，便于提高维护效率。</w:t>
      </w:r>
    </w:p>
    <w:p w:rsidR="003F71C1" w:rsidRDefault="003F71C1">
      <w:pPr>
        <w:pStyle w:val="ListParagraph"/>
        <w:snapToGrid w:val="0"/>
        <w:ind w:firstLineChars="0" w:firstLine="0"/>
        <w:rPr>
          <w:rFonts w:ascii="仿宋_GB2312" w:eastAsia="仿宋_GB2312" w:hAnsi="仿宋_GB2312" w:cs="Times New Roman"/>
          <w:sz w:val="32"/>
          <w:szCs w:val="32"/>
        </w:rPr>
      </w:pPr>
      <w:r>
        <w:rPr>
          <w:rFonts w:ascii="黑体" w:eastAsia="黑体" w:hAnsi="黑体" w:cs="黑体" w:hint="eastAsia"/>
          <w:sz w:val="32"/>
          <w:szCs w:val="32"/>
        </w:rPr>
        <w:t>二</w:t>
      </w:r>
      <w:r>
        <w:rPr>
          <w:rFonts w:ascii="黑体" w:eastAsia="黑体" w:hAnsi="黑体" w:cs="黑体"/>
          <w:sz w:val="32"/>
          <w:szCs w:val="32"/>
        </w:rPr>
        <w:t>.</w:t>
      </w:r>
      <w:r>
        <w:rPr>
          <w:rFonts w:ascii="黑体" w:eastAsia="黑体" w:hAnsi="黑体" w:cs="黑体" w:hint="eastAsia"/>
          <w:sz w:val="32"/>
          <w:szCs w:val="32"/>
        </w:rPr>
        <w:t>现有需求</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1.</w:t>
      </w:r>
      <w:r>
        <w:rPr>
          <w:rFonts w:ascii="仿宋" w:eastAsia="仿宋" w:hAnsi="仿宋" w:cs="仿宋" w:hint="eastAsia"/>
          <w:color w:val="000000"/>
          <w:sz w:val="28"/>
          <w:szCs w:val="28"/>
        </w:rPr>
        <w:t>角色划分</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hint="eastAsia"/>
          <w:color w:val="000000"/>
        </w:rPr>
        <w:t xml:space="preserve">　</w:t>
      </w:r>
      <w:r>
        <w:rPr>
          <w:rFonts w:ascii="仿宋" w:eastAsia="仿宋" w:hAnsi="仿宋" w:cs="仿宋" w:hint="eastAsia"/>
          <w:color w:val="000000"/>
          <w:sz w:val="28"/>
          <w:szCs w:val="28"/>
        </w:rPr>
        <w:t xml:space="preserve">　根据无车承运业务运作模式，系统应划分货主、巢湖市飞雁物流有限责任公司（运营平台）、承运商、车主</w:t>
      </w:r>
      <w:r>
        <w:rPr>
          <w:rFonts w:ascii="仿宋" w:eastAsia="仿宋" w:hAnsi="仿宋" w:cs="仿宋"/>
          <w:color w:val="000000"/>
          <w:sz w:val="28"/>
          <w:szCs w:val="28"/>
        </w:rPr>
        <w:t>/</w:t>
      </w:r>
      <w:r>
        <w:rPr>
          <w:rFonts w:ascii="仿宋" w:eastAsia="仿宋" w:hAnsi="仿宋" w:cs="仿宋" w:hint="eastAsia"/>
          <w:color w:val="000000"/>
          <w:sz w:val="28"/>
          <w:szCs w:val="28"/>
        </w:rPr>
        <w:t>司机四个操作角色，根据实际业务操作需要赋予相关系统操作权限。</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基础信息设置</w:t>
      </w:r>
    </w:p>
    <w:p w:rsidR="003F71C1" w:rsidRDefault="003F71C1" w:rsidP="00631C56">
      <w:pPr>
        <w:widowControl/>
        <w:spacing w:before="120" w:after="120" w:line="288" w:lineRule="auto"/>
        <w:ind w:firstLineChars="250" w:firstLine="31680"/>
        <w:rPr>
          <w:rFonts w:ascii="仿宋" w:eastAsia="仿宋" w:hAnsi="仿宋" w:cs="Times New Roman"/>
          <w:color w:val="000000"/>
          <w:sz w:val="28"/>
          <w:szCs w:val="28"/>
        </w:rPr>
      </w:pPr>
      <w:r>
        <w:rPr>
          <w:rFonts w:ascii="仿宋" w:eastAsia="仿宋" w:hAnsi="仿宋" w:cs="仿宋" w:hint="eastAsia"/>
          <w:color w:val="000000"/>
          <w:sz w:val="28"/>
          <w:szCs w:val="28"/>
        </w:rPr>
        <w:t>业务运营运作所需的基础参数包括但不限于计价单位、计价策略、运输线路、运输合同、角色基础信息、操作权限等相关业务基础信息设置，系统运行所需的各种参数、规则的设置等。</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3.</w:t>
      </w:r>
      <w:r>
        <w:rPr>
          <w:rFonts w:ascii="仿宋" w:eastAsia="仿宋" w:hAnsi="仿宋" w:cs="仿宋" w:hint="eastAsia"/>
          <w:color w:val="000000"/>
          <w:sz w:val="28"/>
          <w:szCs w:val="28"/>
        </w:rPr>
        <w:t>提供各角色会员的注册、审核功能，全面系统记录参与系统运作的各角色完备信息；提供运输合同、线路等业务基础信息的添加、修改、删除、查询功能。提供包括方、吨、车等多种计价单位的选择以及阶梯计价等灵活多变的计价策略。</w:t>
      </w:r>
    </w:p>
    <w:p w:rsidR="003F71C1" w:rsidRDefault="003F71C1">
      <w:pPr>
        <w:widowControl/>
        <w:spacing w:before="120" w:after="120" w:line="288" w:lineRule="auto"/>
        <w:rPr>
          <w:rFonts w:ascii="仿宋" w:eastAsia="仿宋" w:hAnsi="仿宋" w:cs="Times New Roman"/>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业务处理流程</w:t>
      </w:r>
    </w:p>
    <w:p w:rsidR="003F71C1" w:rsidRDefault="003F71C1">
      <w:pPr>
        <w:pStyle w:val="ListParagraph"/>
        <w:snapToGrid w:val="0"/>
        <w:ind w:firstLineChars="0" w:firstLine="0"/>
        <w:rPr>
          <w:rFonts w:ascii="仿宋_GB2312" w:eastAsia="仿宋_GB2312" w:hAnsi="仿宋_GB2312" w:cs="Times New Roman"/>
          <w:sz w:val="32"/>
          <w:szCs w:val="32"/>
        </w:rPr>
      </w:pPr>
      <w:r w:rsidRPr="00984447">
        <w:rPr>
          <w:rFonts w:ascii="仿宋_GB2312" w:eastAsia="仿宋_GB2312" w:hAnsi="仿宋_GB2312" w:cs="Times New Roman"/>
          <w:sz w:val="32"/>
          <w:szCs w:val="32"/>
        </w:rPr>
        <w:object w:dxaOrig="11442" w:dyaOrig="9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3in" o:ole="">
            <v:imagedata r:id="rId4" o:title=""/>
          </v:shape>
          <o:OLEObject Type="Embed" ProgID="Msxml2.SAXXMLReader.5.0" ShapeID="_x0000_i1025" DrawAspect="Content" ObjectID="_1630927002" r:id="rId5"/>
        </w:objec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如上图示：货主企业以巢湖市飞雁物流有限责任公司为桥梁，实现与实际承运商或实际承运人建立车、货信息的匹配。货主将货源信息发布给巢湖市飞雁物流有限责任公司，巢湖市飞雁物流有限责任公司屏蔽货主信息后将货源信息转发布给实际承运商或司机</w:t>
      </w:r>
      <w:r>
        <w:rPr>
          <w:rFonts w:ascii="仿宋" w:eastAsia="仿宋" w:hAnsi="仿宋" w:cs="仿宋"/>
          <w:color w:val="000000"/>
          <w:sz w:val="28"/>
          <w:szCs w:val="28"/>
        </w:rPr>
        <w:t>/</w:t>
      </w:r>
      <w:r>
        <w:rPr>
          <w:rFonts w:ascii="仿宋" w:eastAsia="仿宋" w:hAnsi="仿宋" w:cs="仿宋" w:hint="eastAsia"/>
          <w:color w:val="000000"/>
          <w:sz w:val="28"/>
          <w:szCs w:val="28"/>
        </w:rPr>
        <w:t>车主，实际承运商或司机</w:t>
      </w:r>
      <w:r>
        <w:rPr>
          <w:rFonts w:ascii="仿宋" w:eastAsia="仿宋" w:hAnsi="仿宋" w:cs="仿宋"/>
          <w:color w:val="000000"/>
          <w:sz w:val="28"/>
          <w:szCs w:val="28"/>
        </w:rPr>
        <w:t>/</w:t>
      </w:r>
      <w:r>
        <w:rPr>
          <w:rFonts w:ascii="仿宋" w:eastAsia="仿宋" w:hAnsi="仿宋" w:cs="仿宋" w:hint="eastAsia"/>
          <w:color w:val="000000"/>
          <w:sz w:val="28"/>
          <w:szCs w:val="28"/>
        </w:rPr>
        <w:t>车主根据货源信息进行报价，通过竞价、竞拍、指派的方式择优选择经过巢湖市飞雁物流有限责任公司认证过的运力资源，实现车、货匹配，达成撮合交易。</w:t>
      </w:r>
    </w:p>
    <w:p w:rsidR="003F71C1" w:rsidRDefault="003F71C1" w:rsidP="00631C56">
      <w:pPr>
        <w:snapToGrid w:val="0"/>
        <w:ind w:left="31680" w:hangingChars="200" w:firstLine="31680"/>
        <w:rPr>
          <w:rFonts w:ascii="仿宋_GB2312" w:eastAsia="仿宋_GB2312" w:hAnsi="仿宋_GB2312" w:cs="Times New Roman"/>
          <w:sz w:val="32"/>
          <w:szCs w:val="32"/>
        </w:rPr>
      </w:pPr>
      <w:r w:rsidRPr="00984447">
        <w:rPr>
          <w:rFonts w:ascii="仿宋_GB2312" w:eastAsia="仿宋_GB2312" w:hAnsi="仿宋_GB2312" w:cs="Times New Roman"/>
          <w:sz w:val="32"/>
          <w:szCs w:val="32"/>
        </w:rPr>
        <w:pict>
          <v:shape id="_x0000_i1026" type="#_x0000_t75" style="width:412.5pt;height:492pt">
            <v:imagedata r:id="rId6" o:title=""/>
          </v:shape>
        </w:pic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如上图示：满足以巢湖市飞雁物流有限责任公司为业务主体，在与上游货主签订承运合同和与下游承运商</w:t>
      </w:r>
      <w:r>
        <w:rPr>
          <w:rFonts w:ascii="仿宋" w:eastAsia="仿宋" w:hAnsi="仿宋" w:cs="仿宋"/>
          <w:color w:val="000000"/>
          <w:sz w:val="28"/>
          <w:szCs w:val="28"/>
        </w:rPr>
        <w:t>/</w:t>
      </w:r>
      <w:r>
        <w:rPr>
          <w:rFonts w:ascii="仿宋" w:eastAsia="仿宋" w:hAnsi="仿宋" w:cs="仿宋" w:hint="eastAsia"/>
          <w:color w:val="000000"/>
          <w:sz w:val="28"/>
          <w:szCs w:val="28"/>
        </w:rPr>
        <w:t>司机签订托运合同后，按合同既定的业务规则和计价策略，对单车运输业务实现从订单下达到结算支付的全流程、多场景、多角色的协同协作和过程管控。</w:t>
      </w:r>
    </w:p>
    <w:p w:rsidR="003F71C1" w:rsidRDefault="003F71C1">
      <w:pPr>
        <w:pStyle w:val="ListParagraph"/>
        <w:snapToGrid w:val="0"/>
        <w:ind w:firstLineChars="0" w:firstLine="0"/>
        <w:rPr>
          <w:rFonts w:ascii="仿宋" w:eastAsia="仿宋" w:hAnsi="仿宋" w:cs="Times New Roman"/>
          <w:color w:val="000000"/>
          <w:sz w:val="28"/>
          <w:szCs w:val="28"/>
        </w:rPr>
      </w:pPr>
    </w:p>
    <w:p w:rsidR="003F71C1" w:rsidRDefault="003F71C1">
      <w:pPr>
        <w:pStyle w:val="ListParagraph"/>
        <w:snapToGrid w:val="0"/>
        <w:ind w:firstLineChars="0" w:firstLine="0"/>
        <w:rPr>
          <w:rFonts w:ascii="仿宋_GB2312" w:eastAsia="仿宋_GB2312" w:hAnsi="仿宋_GB2312" w:cs="Times New Roman"/>
          <w:sz w:val="32"/>
          <w:szCs w:val="32"/>
        </w:rPr>
      </w:pP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5.</w:t>
      </w:r>
      <w:r>
        <w:rPr>
          <w:rFonts w:ascii="仿宋" w:eastAsia="仿宋" w:hAnsi="仿宋" w:cs="仿宋" w:hint="eastAsia"/>
          <w:color w:val="000000"/>
          <w:sz w:val="28"/>
          <w:szCs w:val="28"/>
        </w:rPr>
        <w:t>下游结算流程</w:t>
      </w:r>
    </w:p>
    <w:p w:rsidR="003F71C1" w:rsidRDefault="003F71C1">
      <w:pPr>
        <w:snapToGrid w:val="0"/>
        <w:rPr>
          <w:rFonts w:ascii="仿宋_GB2312" w:eastAsia="仿宋_GB2312" w:hAnsi="仿宋_GB2312" w:cs="Times New Roman"/>
          <w:sz w:val="32"/>
          <w:szCs w:val="32"/>
        </w:rPr>
      </w:pPr>
      <w:r w:rsidRPr="00984447">
        <w:rPr>
          <w:rFonts w:ascii="仿宋_GB2312" w:eastAsia="仿宋_GB2312" w:hAnsi="仿宋_GB2312" w:cs="Times New Roman"/>
          <w:sz w:val="32"/>
          <w:szCs w:val="32"/>
        </w:rPr>
        <w:pict>
          <v:shape id="_x0000_i1027" type="#_x0000_t75" style="width:411.75pt;height:260.25pt">
            <v:imagedata r:id="rId7" o:title=""/>
          </v:shape>
        </w:pict>
      </w:r>
    </w:p>
    <w:p w:rsidR="003F71C1" w:rsidRDefault="003F71C1">
      <w:pPr>
        <w:snapToGrid w:val="0"/>
        <w:rPr>
          <w:rFonts w:ascii="仿宋" w:eastAsia="仿宋" w:hAnsi="仿宋" w:cs="Times New Roman"/>
          <w:color w:val="000000"/>
          <w:sz w:val="28"/>
          <w:szCs w:val="28"/>
        </w:rPr>
      </w:pPr>
      <w:r>
        <w:rPr>
          <w:rFonts w:ascii="仿宋_GB2312" w:eastAsia="仿宋_GB2312" w:hAnsi="仿宋_GB2312" w:cs="仿宋_GB2312" w:hint="eastAsia"/>
          <w:sz w:val="32"/>
          <w:szCs w:val="32"/>
        </w:rPr>
        <w:t xml:space="preserve">　　</w:t>
      </w:r>
      <w:r>
        <w:rPr>
          <w:rFonts w:ascii="仿宋" w:eastAsia="仿宋" w:hAnsi="仿宋" w:cs="仿宋" w:hint="eastAsia"/>
          <w:color w:val="000000"/>
          <w:sz w:val="28"/>
          <w:szCs w:val="28"/>
        </w:rPr>
        <w:t>如上图示：结算中心结算员按照从线下业务传递过来的回单，针对系统数据进行审核和结算，并将结果记录到系统，形成单车运费结算记录；按照结算支付规则，选择需要支付的关联发车车次，系统自动形成结算单（含结算汇总和明细），并提供结算单相关费用的调增调减功能；结算主管按合同约定，划</w:t>
      </w:r>
      <w:bookmarkStart w:id="0" w:name="_GoBack"/>
      <w:bookmarkEnd w:id="0"/>
      <w:r>
        <w:rPr>
          <w:rFonts w:ascii="仿宋" w:eastAsia="仿宋" w:hAnsi="仿宋" w:cs="仿宋" w:hint="eastAsia"/>
          <w:color w:val="000000"/>
          <w:sz w:val="28"/>
          <w:szCs w:val="28"/>
        </w:rPr>
        <w:t>分支付现金及油卡金额；业务人员根据结算中心出具的结算单线下进行审批；审批结果提交出纳进行支付操作（可直接对接银行等其他三方支付平台实现在线支付）。</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6.</w:t>
      </w:r>
      <w:r>
        <w:rPr>
          <w:rFonts w:ascii="仿宋" w:eastAsia="仿宋" w:hAnsi="仿宋" w:cs="仿宋" w:hint="eastAsia"/>
          <w:color w:val="000000"/>
          <w:sz w:val="28"/>
          <w:szCs w:val="28"/>
        </w:rPr>
        <w:t>上游收款流程</w:t>
      </w:r>
    </w:p>
    <w:p w:rsidR="003F71C1" w:rsidRDefault="003F71C1">
      <w:pPr>
        <w:snapToGrid w:val="0"/>
        <w:rPr>
          <w:rFonts w:ascii="仿宋_GB2312" w:eastAsia="仿宋_GB2312" w:hAnsi="仿宋_GB2312" w:cs="Times New Roman"/>
          <w:sz w:val="32"/>
          <w:szCs w:val="32"/>
        </w:rPr>
      </w:pPr>
      <w:r w:rsidRPr="00984447">
        <w:rPr>
          <w:rFonts w:ascii="仿宋_GB2312" w:eastAsia="仿宋_GB2312" w:hAnsi="仿宋_GB2312" w:cs="Times New Roman"/>
          <w:sz w:val="32"/>
          <w:szCs w:val="32"/>
        </w:rPr>
        <w:pict>
          <v:shape id="_x0000_i1028" type="#_x0000_t75" style="width:411.75pt;height:167.25pt">
            <v:imagedata r:id="rId8" o:title=""/>
          </v:shape>
        </w:pic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_GB2312" w:eastAsia="仿宋_GB2312" w:hAnsi="仿宋_GB2312" w:cs="仿宋_GB2312" w:hint="eastAsia"/>
          <w:sz w:val="32"/>
          <w:szCs w:val="32"/>
        </w:rPr>
        <w:t xml:space="preserve">　　</w:t>
      </w:r>
      <w:r>
        <w:rPr>
          <w:rFonts w:ascii="仿宋" w:eastAsia="仿宋" w:hAnsi="仿宋" w:cs="仿宋" w:hint="eastAsia"/>
          <w:color w:val="000000"/>
          <w:sz w:val="28"/>
          <w:szCs w:val="28"/>
        </w:rPr>
        <w:t>如上图示：结算中心结算员按照从线下业务传递过来的回单，针对系统数据进行审核和结算，并将结果记录到系统，形成单车运费结算记录；按照结算支付规则，选择需要支付的关联发车车次，系统自动形成结算单（含结算汇总和明细），并提供结算单相关费用的调增调减功能；经结算主管审核后与上游货主进行对账操作；对账完毕后系统形成应收账款记录，按照收款情况进行相关核销。</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7.</w:t>
      </w:r>
      <w:r>
        <w:rPr>
          <w:rFonts w:ascii="仿宋" w:eastAsia="仿宋" w:hAnsi="仿宋" w:cs="仿宋" w:hint="eastAsia"/>
          <w:color w:val="000000"/>
          <w:sz w:val="28"/>
          <w:szCs w:val="28"/>
        </w:rPr>
        <w:t>应用场景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基于上述业务处理流程，结合线下实际物流业务操作节点，系统应建立与之相对应的应用场景，提供节点操作相关的功能，具体需求如下：</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a.</w:t>
      </w:r>
      <w:r>
        <w:rPr>
          <w:rFonts w:ascii="仿宋" w:eastAsia="仿宋" w:hAnsi="仿宋" w:cs="仿宋" w:hint="eastAsia"/>
          <w:color w:val="000000"/>
          <w:sz w:val="28"/>
          <w:szCs w:val="28"/>
        </w:rPr>
        <w:t>订单派发场景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 xml:space="preserve">　　基于托运合同派发物流计划、获取下游车辆信息、制作物流订单并派发，实时监控订单执行情况。</w:t>
      </w:r>
      <w:r>
        <w:rPr>
          <w:rFonts w:ascii="仿宋" w:eastAsia="仿宋" w:hAnsi="仿宋" w:cs="仿宋"/>
          <w:color w:val="000000"/>
          <w:sz w:val="28"/>
          <w:szCs w:val="28"/>
        </w:rPr>
        <w:t>---</w:t>
      </w:r>
      <w:r>
        <w:rPr>
          <w:rFonts w:ascii="仿宋" w:eastAsia="仿宋" w:hAnsi="仿宋" w:cs="仿宋" w:hint="eastAsia"/>
          <w:color w:val="000000"/>
          <w:sz w:val="28"/>
          <w:szCs w:val="28"/>
        </w:rPr>
        <w:t>此场景由货主角色操作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b.</w:t>
      </w:r>
      <w:r>
        <w:rPr>
          <w:rFonts w:ascii="仿宋" w:eastAsia="仿宋" w:hAnsi="仿宋" w:cs="仿宋" w:hint="eastAsia"/>
          <w:color w:val="000000"/>
          <w:sz w:val="28"/>
          <w:szCs w:val="28"/>
        </w:rPr>
        <w:t>调度场景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 xml:space="preserve">　　承运单位接到物流订单后进行运力的匹配和调度，可以直接指派车辆或指派下游承运商，下游承运商</w:t>
      </w:r>
      <w:r>
        <w:rPr>
          <w:rFonts w:ascii="仿宋" w:eastAsia="仿宋" w:hAnsi="仿宋" w:cs="仿宋"/>
          <w:color w:val="000000"/>
          <w:sz w:val="28"/>
          <w:szCs w:val="28"/>
        </w:rPr>
        <w:t>/</w:t>
      </w:r>
      <w:r>
        <w:rPr>
          <w:rFonts w:ascii="仿宋" w:eastAsia="仿宋" w:hAnsi="仿宋" w:cs="仿宋" w:hint="eastAsia"/>
          <w:color w:val="000000"/>
          <w:sz w:val="28"/>
          <w:szCs w:val="28"/>
        </w:rPr>
        <w:t>司机接单后实现与实际承运人的运输协议的签订。</w:t>
      </w:r>
      <w:r>
        <w:rPr>
          <w:rFonts w:ascii="仿宋" w:eastAsia="仿宋" w:hAnsi="仿宋" w:cs="仿宋"/>
          <w:color w:val="000000"/>
          <w:sz w:val="28"/>
          <w:szCs w:val="28"/>
        </w:rPr>
        <w:t>----</w:t>
      </w:r>
      <w:r>
        <w:rPr>
          <w:rFonts w:ascii="仿宋" w:eastAsia="仿宋" w:hAnsi="仿宋" w:cs="仿宋" w:hint="eastAsia"/>
          <w:color w:val="000000"/>
          <w:sz w:val="28"/>
          <w:szCs w:val="28"/>
        </w:rPr>
        <w:t>此场景由巢湖市飞雁物流有限责任公司或下游分包商操作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c.</w:t>
      </w:r>
      <w:r>
        <w:rPr>
          <w:rFonts w:ascii="仿宋" w:eastAsia="仿宋" w:hAnsi="仿宋" w:cs="仿宋" w:hint="eastAsia"/>
          <w:color w:val="000000"/>
          <w:sz w:val="28"/>
          <w:szCs w:val="28"/>
        </w:rPr>
        <w:t>到场装货场景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实际承运人接单后按装货时间到场装货，并根据实际装货量与系统物流订单进行确认、修改，货物签收时将于此装货量比对，判断货损情况。</w:t>
      </w:r>
      <w:r>
        <w:rPr>
          <w:rFonts w:ascii="仿宋" w:eastAsia="仿宋" w:hAnsi="仿宋" w:cs="仿宋"/>
          <w:color w:val="000000"/>
          <w:sz w:val="28"/>
          <w:szCs w:val="28"/>
        </w:rPr>
        <w:t>----</w:t>
      </w:r>
      <w:r>
        <w:rPr>
          <w:rFonts w:ascii="仿宋" w:eastAsia="仿宋" w:hAnsi="仿宋" w:cs="仿宋" w:hint="eastAsia"/>
          <w:color w:val="000000"/>
          <w:sz w:val="28"/>
          <w:szCs w:val="28"/>
        </w:rPr>
        <w:t>此场景由实际承运商</w:t>
      </w:r>
      <w:r>
        <w:rPr>
          <w:rFonts w:ascii="仿宋" w:eastAsia="仿宋" w:hAnsi="仿宋" w:cs="仿宋"/>
          <w:color w:val="000000"/>
          <w:sz w:val="28"/>
          <w:szCs w:val="28"/>
        </w:rPr>
        <w:t>/</w:t>
      </w:r>
      <w:r>
        <w:rPr>
          <w:rFonts w:ascii="仿宋" w:eastAsia="仿宋" w:hAnsi="仿宋" w:cs="仿宋" w:hint="eastAsia"/>
          <w:color w:val="000000"/>
          <w:sz w:val="28"/>
          <w:szCs w:val="28"/>
        </w:rPr>
        <w:t>司机操作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d.</w:t>
      </w:r>
      <w:r>
        <w:rPr>
          <w:rFonts w:ascii="仿宋" w:eastAsia="仿宋" w:hAnsi="仿宋" w:cs="仿宋" w:hint="eastAsia"/>
          <w:color w:val="000000"/>
          <w:sz w:val="28"/>
          <w:szCs w:val="28"/>
        </w:rPr>
        <w:t>在途场景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 xml:space="preserve">　　根据实际情况及货主要求，实时上报、反馈物流途中的相关事项。</w:t>
      </w:r>
      <w:r>
        <w:rPr>
          <w:rFonts w:ascii="仿宋" w:eastAsia="仿宋" w:hAnsi="仿宋" w:cs="仿宋"/>
          <w:color w:val="000000"/>
          <w:sz w:val="28"/>
          <w:szCs w:val="28"/>
        </w:rPr>
        <w:t>----</w:t>
      </w:r>
      <w:r>
        <w:rPr>
          <w:rFonts w:ascii="仿宋" w:eastAsia="仿宋" w:hAnsi="仿宋" w:cs="仿宋" w:hint="eastAsia"/>
          <w:color w:val="000000"/>
          <w:sz w:val="28"/>
          <w:szCs w:val="28"/>
        </w:rPr>
        <w:t>此场景由司机操作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e.</w:t>
      </w:r>
      <w:r>
        <w:rPr>
          <w:rFonts w:ascii="仿宋" w:eastAsia="仿宋" w:hAnsi="仿宋" w:cs="仿宋" w:hint="eastAsia"/>
          <w:color w:val="000000"/>
          <w:sz w:val="28"/>
          <w:szCs w:val="28"/>
        </w:rPr>
        <w:t>卸货签收场景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 xml:space="preserve">　　货物送达后，记录卸货签收量及货损、货差情况，提供拍照上传功能，实时共享线下签收单据签收情况。</w:t>
      </w:r>
      <w:r>
        <w:rPr>
          <w:rFonts w:ascii="仿宋" w:eastAsia="仿宋" w:hAnsi="仿宋" w:cs="仿宋"/>
          <w:color w:val="000000"/>
          <w:sz w:val="28"/>
          <w:szCs w:val="28"/>
        </w:rPr>
        <w:t>---</w:t>
      </w:r>
      <w:r>
        <w:rPr>
          <w:rFonts w:ascii="仿宋" w:eastAsia="仿宋" w:hAnsi="仿宋" w:cs="仿宋" w:hint="eastAsia"/>
          <w:color w:val="000000"/>
          <w:sz w:val="28"/>
          <w:szCs w:val="28"/>
        </w:rPr>
        <w:t>此场景由司机操作或收货人操作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f.</w:t>
      </w:r>
      <w:r>
        <w:rPr>
          <w:rFonts w:ascii="仿宋" w:eastAsia="仿宋" w:hAnsi="仿宋" w:cs="仿宋" w:hint="eastAsia"/>
          <w:color w:val="000000"/>
          <w:sz w:val="28"/>
          <w:szCs w:val="28"/>
        </w:rPr>
        <w:t>回单管理场景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 xml:space="preserve">　　实际承运人将线下回单交给承运商，承运商将回单交给巢湖市飞雁物流有限责任公司，巢湖市飞雁物流有限责任公司将回单交给货主企业，系统应对回单交接进行记录，并限制未做记录的物流订单无法进行结算，对超时未记录的给出警示和提醒。</w:t>
      </w:r>
      <w:r>
        <w:rPr>
          <w:rFonts w:ascii="仿宋" w:eastAsia="仿宋" w:hAnsi="仿宋" w:cs="仿宋"/>
          <w:color w:val="000000"/>
          <w:sz w:val="28"/>
          <w:szCs w:val="28"/>
        </w:rPr>
        <w:t>----</w:t>
      </w:r>
      <w:r>
        <w:rPr>
          <w:rFonts w:ascii="仿宋" w:eastAsia="仿宋" w:hAnsi="仿宋" w:cs="仿宋" w:hint="eastAsia"/>
          <w:color w:val="000000"/>
          <w:sz w:val="28"/>
          <w:szCs w:val="28"/>
        </w:rPr>
        <w:t>此场景针对货主、巢湖市飞雁物流有限责任公司、承运商都应有此操作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g.</w:t>
      </w:r>
      <w:r>
        <w:rPr>
          <w:rFonts w:ascii="仿宋" w:eastAsia="仿宋" w:hAnsi="仿宋" w:cs="仿宋" w:hint="eastAsia"/>
          <w:color w:val="000000"/>
          <w:sz w:val="28"/>
          <w:szCs w:val="28"/>
        </w:rPr>
        <w:t>异常处理场景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 xml:space="preserve">　　按照系统设定的规则，对于违反规则的物流定单系统自动判定异常。所有标记异常的订单进行统一管理，异常未处理完毕，订单不允许进行结算，异常处理完毕后将结果与订单关联、结算。</w:t>
      </w:r>
      <w:r>
        <w:rPr>
          <w:rFonts w:ascii="仿宋" w:eastAsia="仿宋" w:hAnsi="仿宋" w:cs="仿宋"/>
          <w:color w:val="000000"/>
          <w:sz w:val="28"/>
          <w:szCs w:val="28"/>
        </w:rPr>
        <w:t>----</w:t>
      </w:r>
      <w:r>
        <w:rPr>
          <w:rFonts w:ascii="仿宋" w:eastAsia="仿宋" w:hAnsi="仿宋" w:cs="仿宋" w:hint="eastAsia"/>
          <w:color w:val="000000"/>
          <w:sz w:val="28"/>
          <w:szCs w:val="28"/>
        </w:rPr>
        <w:t>此场景由客服人员负责操作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h.</w:t>
      </w:r>
      <w:r>
        <w:rPr>
          <w:rFonts w:ascii="仿宋" w:eastAsia="仿宋" w:hAnsi="仿宋" w:cs="仿宋" w:hint="eastAsia"/>
          <w:color w:val="000000"/>
          <w:sz w:val="28"/>
          <w:szCs w:val="28"/>
        </w:rPr>
        <w:t>结算支付场景</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hint="eastAsia"/>
          <w:color w:val="000000"/>
          <w:sz w:val="28"/>
          <w:szCs w:val="28"/>
        </w:rPr>
        <w:t xml:space="preserve">　　由结算中心根据线下回单对系统数据进行审核、结算，先完成单车费用结算，在关联车次形成周期性结算单据，并分配油卡、现金额度后走审批程序进入支付环节。</w:t>
      </w:r>
      <w:r>
        <w:rPr>
          <w:rFonts w:ascii="仿宋" w:eastAsia="仿宋" w:hAnsi="仿宋" w:cs="仿宋"/>
          <w:color w:val="000000"/>
          <w:sz w:val="28"/>
          <w:szCs w:val="28"/>
        </w:rPr>
        <w:t>---</w:t>
      </w:r>
      <w:r>
        <w:rPr>
          <w:rFonts w:ascii="仿宋" w:eastAsia="仿宋" w:hAnsi="仿宋" w:cs="仿宋" w:hint="eastAsia"/>
          <w:color w:val="000000"/>
          <w:sz w:val="28"/>
          <w:szCs w:val="28"/>
        </w:rPr>
        <w:t>此场景由结算中心操作</w:t>
      </w:r>
    </w:p>
    <w:p w:rsidR="003F71C1" w:rsidRDefault="003F71C1">
      <w:pPr>
        <w:pStyle w:val="ListParagraph"/>
        <w:snapToGrid w:val="0"/>
        <w:ind w:firstLineChars="0" w:firstLine="0"/>
        <w:rPr>
          <w:rFonts w:ascii="仿宋" w:eastAsia="仿宋" w:hAnsi="仿宋" w:cs="Times New Roman"/>
          <w:color w:val="000000"/>
          <w:sz w:val="28"/>
          <w:szCs w:val="28"/>
        </w:rPr>
      </w:pPr>
      <w:r>
        <w:rPr>
          <w:rFonts w:ascii="仿宋" w:eastAsia="仿宋" w:hAnsi="仿宋" w:cs="仿宋"/>
          <w:color w:val="000000"/>
          <w:sz w:val="28"/>
          <w:szCs w:val="28"/>
        </w:rPr>
        <w:t>i.</w:t>
      </w:r>
      <w:r>
        <w:rPr>
          <w:rFonts w:ascii="仿宋" w:eastAsia="仿宋" w:hAnsi="仿宋" w:cs="仿宋" w:hint="eastAsia"/>
          <w:color w:val="000000"/>
          <w:sz w:val="28"/>
          <w:szCs w:val="28"/>
        </w:rPr>
        <w:t>运营报表场景</w:t>
      </w:r>
    </w:p>
    <w:p w:rsidR="003F71C1" w:rsidRDefault="003F71C1">
      <w:pPr>
        <w:pStyle w:val="ListParagraph"/>
        <w:snapToGrid w:val="0"/>
        <w:ind w:firstLineChars="0" w:firstLine="570"/>
        <w:rPr>
          <w:rFonts w:ascii="仿宋" w:eastAsia="仿宋" w:hAnsi="仿宋" w:cs="Times New Roman"/>
          <w:color w:val="000000"/>
          <w:sz w:val="28"/>
          <w:szCs w:val="28"/>
        </w:rPr>
      </w:pPr>
      <w:r>
        <w:rPr>
          <w:rFonts w:ascii="仿宋" w:eastAsia="仿宋" w:hAnsi="仿宋" w:cs="仿宋" w:hint="eastAsia"/>
          <w:color w:val="000000"/>
          <w:sz w:val="28"/>
          <w:szCs w:val="28"/>
        </w:rPr>
        <w:t>针对以上各应用场景的相关操作，系统在此场景提供相关的查询、统计报表，并提供多关键字的关联查询，根据权限划分查看范围；并针对整个系统的业务运作运营情况进行统计分析，提供相应的报表和图表，要求直观、简洁。</w:t>
      </w:r>
      <w:r>
        <w:rPr>
          <w:rFonts w:ascii="仿宋" w:eastAsia="仿宋" w:hAnsi="仿宋" w:cs="仿宋"/>
          <w:color w:val="000000"/>
          <w:sz w:val="28"/>
          <w:szCs w:val="28"/>
        </w:rPr>
        <w:t>---</w:t>
      </w:r>
      <w:r>
        <w:rPr>
          <w:rFonts w:ascii="仿宋" w:eastAsia="仿宋" w:hAnsi="仿宋" w:cs="仿宋" w:hint="eastAsia"/>
          <w:color w:val="000000"/>
          <w:sz w:val="28"/>
          <w:szCs w:val="28"/>
        </w:rPr>
        <w:t>此场景按权限划分使用范围</w:t>
      </w:r>
    </w:p>
    <w:p w:rsidR="003F71C1" w:rsidRDefault="003F71C1">
      <w:pPr>
        <w:snapToGrid w:val="0"/>
        <w:rPr>
          <w:rFonts w:ascii="仿宋" w:eastAsia="仿宋" w:hAnsi="仿宋" w:cs="Times New Roman"/>
          <w:color w:val="000000"/>
          <w:sz w:val="28"/>
          <w:szCs w:val="28"/>
        </w:rPr>
      </w:pPr>
      <w:r>
        <w:rPr>
          <w:rFonts w:ascii="仿宋" w:eastAsia="仿宋" w:hAnsi="仿宋" w:cs="仿宋"/>
          <w:color w:val="000000"/>
          <w:sz w:val="28"/>
          <w:szCs w:val="28"/>
        </w:rPr>
        <w:t>j.</w:t>
      </w:r>
      <w:r>
        <w:rPr>
          <w:rFonts w:ascii="仿宋" w:eastAsia="仿宋" w:hAnsi="仿宋" w:cs="仿宋" w:hint="eastAsia"/>
          <w:color w:val="000000"/>
          <w:sz w:val="28"/>
          <w:szCs w:val="28"/>
        </w:rPr>
        <w:t>省部级监管平台对接</w:t>
      </w:r>
    </w:p>
    <w:p w:rsidR="003F71C1" w:rsidRDefault="003F71C1">
      <w:pPr>
        <w:snapToGrid w:val="0"/>
        <w:ind w:firstLine="555"/>
        <w:rPr>
          <w:rFonts w:ascii="仿宋" w:eastAsia="仿宋" w:hAnsi="仿宋" w:cs="Times New Roman"/>
          <w:color w:val="000000"/>
          <w:sz w:val="28"/>
          <w:szCs w:val="28"/>
        </w:rPr>
      </w:pPr>
      <w:r>
        <w:rPr>
          <w:rFonts w:ascii="仿宋" w:eastAsia="仿宋" w:hAnsi="仿宋" w:cs="仿宋" w:hint="eastAsia"/>
          <w:color w:val="000000"/>
          <w:sz w:val="28"/>
          <w:szCs w:val="28"/>
        </w:rPr>
        <w:t>按照国家对无车承运及网络平台道路货物运输企业的要求，须与交通部及省级监管平台实现接口对接，并根据业务实际情况及时上传电子运单和资金流水单。系统应提供相应接口及功能实现与相关监管平台对接，并且提供自动或手动上传电子运单和资金流水单的功能。</w:t>
      </w:r>
    </w:p>
    <w:p w:rsidR="003F71C1" w:rsidRDefault="003F71C1">
      <w:pPr>
        <w:snapToGrid w:val="0"/>
        <w:rPr>
          <w:rFonts w:ascii="仿宋" w:eastAsia="仿宋" w:hAnsi="仿宋" w:cs="Times New Roman"/>
          <w:color w:val="000000"/>
          <w:sz w:val="28"/>
          <w:szCs w:val="28"/>
        </w:rPr>
      </w:pPr>
      <w:r>
        <w:rPr>
          <w:rFonts w:ascii="仿宋" w:eastAsia="仿宋" w:hAnsi="仿宋" w:cs="仿宋"/>
          <w:color w:val="000000"/>
          <w:sz w:val="28"/>
          <w:szCs w:val="28"/>
        </w:rPr>
        <w:t>8.</w:t>
      </w:r>
      <w:r>
        <w:rPr>
          <w:rFonts w:ascii="仿宋" w:eastAsia="仿宋" w:hAnsi="仿宋" w:cs="仿宋" w:hint="eastAsia"/>
          <w:color w:val="000000"/>
          <w:sz w:val="28"/>
          <w:szCs w:val="28"/>
        </w:rPr>
        <w:t>功能扩展</w:t>
      </w:r>
    </w:p>
    <w:p w:rsidR="003F71C1" w:rsidRDefault="003F71C1">
      <w:pPr>
        <w:snapToGrid w:val="0"/>
        <w:rPr>
          <w:rFonts w:ascii="仿宋" w:eastAsia="仿宋" w:hAnsi="仿宋" w:cs="Times New Roman"/>
          <w:color w:val="000000"/>
          <w:sz w:val="28"/>
          <w:szCs w:val="28"/>
        </w:rPr>
      </w:pPr>
      <w:r>
        <w:rPr>
          <w:rFonts w:ascii="仿宋" w:eastAsia="仿宋" w:hAnsi="仿宋" w:cs="仿宋"/>
          <w:color w:val="000000"/>
          <w:sz w:val="28"/>
          <w:szCs w:val="28"/>
        </w:rPr>
        <w:t xml:space="preserve">   </w:t>
      </w:r>
      <w:r>
        <w:rPr>
          <w:rFonts w:ascii="仿宋" w:eastAsia="仿宋" w:hAnsi="仿宋" w:cs="仿宋" w:hint="eastAsia"/>
          <w:color w:val="000000"/>
          <w:sz w:val="28"/>
          <w:szCs w:val="28"/>
        </w:rPr>
        <w:t>随着业务应用的拓展，系统应提供相应的功能扩展。包括但不限于与银行或三方支付机构实现在线支付、与保险公司实现在线投保、与税务部门对接实现相关税务申报等功能。</w:t>
      </w:r>
    </w:p>
    <w:p w:rsidR="003F71C1" w:rsidRDefault="003F71C1">
      <w:pPr>
        <w:pStyle w:val="ListParagraph"/>
        <w:snapToGrid w:val="0"/>
        <w:ind w:firstLineChars="0" w:firstLine="0"/>
        <w:rPr>
          <w:rFonts w:ascii="仿宋" w:eastAsia="仿宋" w:hAnsi="仿宋" w:cs="Times New Roman"/>
          <w:color w:val="000000"/>
          <w:sz w:val="28"/>
          <w:szCs w:val="28"/>
        </w:rPr>
      </w:pPr>
    </w:p>
    <w:p w:rsidR="003F71C1" w:rsidRDefault="003F71C1">
      <w:pPr>
        <w:snapToGrid w:val="0"/>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附件：无车承运系统功能概要　</w:t>
      </w:r>
    </w:p>
    <w:p w:rsidR="003F71C1" w:rsidRDefault="003F71C1">
      <w:pPr>
        <w:widowControl/>
        <w:rPr>
          <w:rFonts w:ascii="微软雅黑" w:eastAsia="微软雅黑" w:hAnsi="微软雅黑" w:cs="Times New Roman"/>
          <w:color w:val="FFFFFF"/>
          <w:kern w:val="0"/>
          <w:sz w:val="44"/>
          <w:szCs w:val="44"/>
        </w:rPr>
      </w:pPr>
      <w:r>
        <w:rPr>
          <w:rFonts w:ascii="微软雅黑" w:eastAsia="微软雅黑" w:hAnsi="微软雅黑" w:cs="微软雅黑" w:hint="eastAsia"/>
          <w:color w:val="FFFFFF"/>
          <w:kern w:val="0"/>
          <w:sz w:val="44"/>
          <w:szCs w:val="44"/>
        </w:rPr>
        <w:t>无车承运系统功能概要</w:t>
      </w:r>
    </w:p>
    <w:tbl>
      <w:tblPr>
        <w:tblW w:w="11057" w:type="dxa"/>
        <w:tblInd w:w="-106" w:type="dxa"/>
        <w:tblLayout w:type="fixed"/>
        <w:tblLook w:val="00A0"/>
      </w:tblPr>
      <w:tblGrid>
        <w:gridCol w:w="708"/>
        <w:gridCol w:w="710"/>
        <w:gridCol w:w="593"/>
        <w:gridCol w:w="1391"/>
        <w:gridCol w:w="1080"/>
        <w:gridCol w:w="6575"/>
      </w:tblGrid>
      <w:tr w:rsidR="003F71C1" w:rsidRPr="00160245">
        <w:trPr>
          <w:trHeight w:val="1065"/>
        </w:trPr>
        <w:tc>
          <w:tcPr>
            <w:tcW w:w="11057" w:type="dxa"/>
            <w:gridSpan w:val="6"/>
            <w:tcBorders>
              <w:top w:val="single" w:sz="4" w:space="0" w:color="auto"/>
              <w:left w:val="single" w:sz="4" w:space="0" w:color="auto"/>
              <w:bottom w:val="single" w:sz="4" w:space="0" w:color="auto"/>
              <w:right w:val="single" w:sz="4" w:space="0" w:color="000000"/>
            </w:tcBorders>
            <w:shd w:val="clear" w:color="000000" w:fill="F2F2F2"/>
            <w:noWrap/>
            <w:vAlign w:val="center"/>
          </w:tcPr>
          <w:p w:rsidR="003F71C1" w:rsidRDefault="003F71C1">
            <w:pPr>
              <w:widowControl/>
              <w:jc w:val="center"/>
              <w:rPr>
                <w:rFonts w:ascii="DengXian" w:hAnsi="DengXian" w:cs="DengXian"/>
                <w:b/>
                <w:bCs/>
                <w:kern w:val="0"/>
                <w:sz w:val="22"/>
                <w:szCs w:val="22"/>
              </w:rPr>
            </w:pPr>
            <w:r>
              <w:rPr>
                <w:rFonts w:ascii="微软雅黑" w:eastAsia="微软雅黑" w:hAnsi="微软雅黑" w:cs="微软雅黑" w:hint="eastAsia"/>
                <w:kern w:val="0"/>
                <w:sz w:val="44"/>
                <w:szCs w:val="44"/>
              </w:rPr>
              <w:t>无车承运系统功能概要</w:t>
            </w:r>
            <w:r>
              <w:rPr>
                <w:rFonts w:ascii="DengXian" w:hAnsi="DengXian" w:cs="宋体" w:hint="eastAsia"/>
                <w:b/>
                <w:bCs/>
                <w:kern w:val="0"/>
                <w:sz w:val="22"/>
                <w:szCs w:val="22"/>
              </w:rPr>
              <w:t xml:space="preserve">　</w:t>
            </w:r>
          </w:p>
        </w:tc>
      </w:tr>
      <w:tr w:rsidR="003F71C1" w:rsidRPr="00160245">
        <w:trPr>
          <w:trHeight w:val="402"/>
        </w:trPr>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访问终端</w:t>
            </w:r>
          </w:p>
        </w:tc>
        <w:tc>
          <w:tcPr>
            <w:tcW w:w="1984" w:type="dxa"/>
            <w:gridSpan w:val="2"/>
            <w:tcBorders>
              <w:top w:val="nil"/>
              <w:left w:val="nil"/>
              <w:bottom w:val="single" w:sz="4" w:space="0" w:color="auto"/>
              <w:right w:val="single" w:sz="4" w:space="0" w:color="auto"/>
            </w:tcBorders>
            <w:shd w:val="clear" w:color="000000" w:fill="F2F2F2"/>
            <w:noWrap/>
            <w:vAlign w:val="center"/>
          </w:tcPr>
          <w:p w:rsidR="003F71C1" w:rsidRDefault="003F71C1">
            <w:pPr>
              <w:widowControl/>
              <w:jc w:val="center"/>
              <w:rPr>
                <w:rFonts w:ascii="DengXian" w:hAnsi="DengXian" w:cs="DengXian"/>
                <w:color w:val="000000"/>
                <w:kern w:val="0"/>
                <w:sz w:val="22"/>
                <w:szCs w:val="22"/>
              </w:rPr>
            </w:pPr>
            <w:r>
              <w:rPr>
                <w:rFonts w:ascii="DengXian" w:hAnsi="DengXian" w:cs="DengXian"/>
                <w:color w:val="000000"/>
                <w:kern w:val="0"/>
                <w:sz w:val="22"/>
                <w:szCs w:val="22"/>
              </w:rPr>
              <w:t>Web</w:t>
            </w:r>
            <w:r>
              <w:rPr>
                <w:rFonts w:ascii="DengXian" w:hAnsi="DengXian" w:cs="宋体" w:hint="eastAsia"/>
                <w:color w:val="000000"/>
                <w:kern w:val="0"/>
                <w:sz w:val="22"/>
                <w:szCs w:val="22"/>
              </w:rPr>
              <w:t>系统</w:t>
            </w:r>
          </w:p>
        </w:tc>
        <w:tc>
          <w:tcPr>
            <w:tcW w:w="7655" w:type="dxa"/>
            <w:gridSpan w:val="2"/>
            <w:tcBorders>
              <w:top w:val="nil"/>
              <w:left w:val="nil"/>
              <w:bottom w:val="single" w:sz="4" w:space="0" w:color="auto"/>
              <w:right w:val="single" w:sz="4" w:space="0" w:color="auto"/>
            </w:tcBorders>
            <w:shd w:val="clear" w:color="000000" w:fill="F2F2F2"/>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基于浏览器访问无车承运人系统</w:t>
            </w:r>
          </w:p>
        </w:tc>
      </w:tr>
      <w:tr w:rsidR="003F71C1" w:rsidRPr="00160245">
        <w:trPr>
          <w:trHeight w:val="402"/>
        </w:trPr>
        <w:tc>
          <w:tcPr>
            <w:tcW w:w="1418" w:type="dxa"/>
            <w:gridSpan w:val="2"/>
            <w:vMerge/>
            <w:tcBorders>
              <w:top w:val="single" w:sz="4" w:space="0" w:color="auto"/>
              <w:left w:val="single" w:sz="4" w:space="0" w:color="auto"/>
              <w:bottom w:val="single" w:sz="4" w:space="0" w:color="000000"/>
              <w:right w:val="single" w:sz="4" w:space="0" w:color="000000"/>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2F2F2"/>
            <w:noWrap/>
            <w:vAlign w:val="center"/>
          </w:tcPr>
          <w:p w:rsidR="003F71C1" w:rsidRDefault="003F71C1">
            <w:pPr>
              <w:widowControl/>
              <w:jc w:val="center"/>
              <w:rPr>
                <w:rFonts w:ascii="DengXian" w:hAnsi="DengXian" w:cs="DengXian"/>
                <w:color w:val="000000"/>
                <w:kern w:val="0"/>
                <w:sz w:val="22"/>
                <w:szCs w:val="22"/>
              </w:rPr>
            </w:pPr>
            <w:r>
              <w:rPr>
                <w:rFonts w:ascii="DengXian" w:hAnsi="DengXian" w:cs="DengXian"/>
                <w:color w:val="000000"/>
                <w:kern w:val="0"/>
                <w:sz w:val="22"/>
                <w:szCs w:val="22"/>
              </w:rPr>
              <w:t>APP</w:t>
            </w:r>
          </w:p>
        </w:tc>
        <w:tc>
          <w:tcPr>
            <w:tcW w:w="7655" w:type="dxa"/>
            <w:gridSpan w:val="2"/>
            <w:tcBorders>
              <w:top w:val="nil"/>
              <w:left w:val="nil"/>
              <w:bottom w:val="single" w:sz="4" w:space="0" w:color="auto"/>
              <w:right w:val="single" w:sz="4" w:space="0" w:color="auto"/>
            </w:tcBorders>
            <w:shd w:val="clear" w:color="000000" w:fill="F2F2F2"/>
            <w:noWrap/>
            <w:vAlign w:val="center"/>
          </w:tcPr>
          <w:p w:rsidR="003F71C1" w:rsidRDefault="003F71C1">
            <w:pPr>
              <w:widowControl/>
              <w:jc w:val="left"/>
              <w:rPr>
                <w:rFonts w:ascii="DengXian" w:hAnsi="DengXian" w:cs="DengXian"/>
                <w:color w:val="000000"/>
                <w:kern w:val="0"/>
                <w:sz w:val="22"/>
                <w:szCs w:val="22"/>
              </w:rPr>
            </w:pPr>
            <w:r>
              <w:rPr>
                <w:rFonts w:ascii="DengXian" w:hAnsi="DengXian" w:cs="DengXian"/>
                <w:color w:val="000000"/>
                <w:kern w:val="0"/>
                <w:sz w:val="22"/>
                <w:szCs w:val="22"/>
              </w:rPr>
              <w:t>iOS</w:t>
            </w:r>
            <w:r>
              <w:rPr>
                <w:rFonts w:ascii="DengXian" w:hAnsi="DengXian" w:cs="宋体" w:hint="eastAsia"/>
                <w:color w:val="000000"/>
                <w:kern w:val="0"/>
                <w:sz w:val="22"/>
                <w:szCs w:val="22"/>
              </w:rPr>
              <w:t>和</w:t>
            </w:r>
            <w:r>
              <w:rPr>
                <w:rFonts w:ascii="DengXian" w:hAnsi="DengXian" w:cs="DengXian"/>
                <w:color w:val="000000"/>
                <w:kern w:val="0"/>
                <w:sz w:val="22"/>
                <w:szCs w:val="22"/>
              </w:rPr>
              <w:t>Android</w:t>
            </w:r>
            <w:r>
              <w:rPr>
                <w:rFonts w:ascii="DengXian" w:hAnsi="DengXian" w:cs="宋体" w:hint="eastAsia"/>
                <w:color w:val="000000"/>
                <w:kern w:val="0"/>
                <w:sz w:val="22"/>
                <w:szCs w:val="22"/>
              </w:rPr>
              <w:t>的原生应用，根据登录身份开放不同的功能和数据权限</w:t>
            </w:r>
          </w:p>
        </w:tc>
      </w:tr>
      <w:tr w:rsidR="003F71C1" w:rsidRPr="00160245">
        <w:trPr>
          <w:trHeight w:val="402"/>
        </w:trPr>
        <w:tc>
          <w:tcPr>
            <w:tcW w:w="1418" w:type="dxa"/>
            <w:gridSpan w:val="2"/>
            <w:vMerge/>
            <w:tcBorders>
              <w:top w:val="single" w:sz="4" w:space="0" w:color="auto"/>
              <w:left w:val="single" w:sz="4" w:space="0" w:color="auto"/>
              <w:bottom w:val="single" w:sz="4" w:space="0" w:color="000000"/>
              <w:right w:val="single" w:sz="4" w:space="0" w:color="000000"/>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2F2F2"/>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微信小程序</w:t>
            </w:r>
          </w:p>
        </w:tc>
        <w:tc>
          <w:tcPr>
            <w:tcW w:w="7655" w:type="dxa"/>
            <w:gridSpan w:val="2"/>
            <w:tcBorders>
              <w:top w:val="nil"/>
              <w:left w:val="nil"/>
              <w:bottom w:val="single" w:sz="4" w:space="0" w:color="auto"/>
              <w:right w:val="single" w:sz="4" w:space="0" w:color="auto"/>
            </w:tcBorders>
            <w:shd w:val="clear" w:color="000000" w:fill="F2F2F2"/>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微信小程序应用，是</w:t>
            </w:r>
            <w:r>
              <w:rPr>
                <w:rFonts w:ascii="DengXian" w:hAnsi="DengXian" w:cs="DengXian"/>
                <w:color w:val="000000"/>
                <w:kern w:val="0"/>
                <w:sz w:val="22"/>
                <w:szCs w:val="22"/>
              </w:rPr>
              <w:t>APP</w:t>
            </w:r>
            <w:r>
              <w:rPr>
                <w:rFonts w:ascii="DengXian" w:hAnsi="DengXian" w:cs="宋体" w:hint="eastAsia"/>
                <w:color w:val="000000"/>
                <w:kern w:val="0"/>
                <w:sz w:val="22"/>
                <w:szCs w:val="22"/>
              </w:rPr>
              <w:t>之外的智能移动终端访问接口</w:t>
            </w:r>
          </w:p>
        </w:tc>
      </w:tr>
      <w:tr w:rsidR="003F71C1" w:rsidRPr="00160245">
        <w:trPr>
          <w:trHeight w:val="432"/>
        </w:trPr>
        <w:tc>
          <w:tcPr>
            <w:tcW w:w="708" w:type="dxa"/>
            <w:tcBorders>
              <w:top w:val="nil"/>
              <w:left w:val="single" w:sz="4" w:space="0" w:color="auto"/>
              <w:bottom w:val="nil"/>
              <w:right w:val="single" w:sz="4" w:space="0" w:color="auto"/>
            </w:tcBorders>
            <w:shd w:val="clear" w:color="000000" w:fill="404040"/>
            <w:noWrap/>
            <w:vAlign w:val="center"/>
          </w:tcPr>
          <w:p w:rsidR="003F71C1" w:rsidRDefault="003F71C1">
            <w:pPr>
              <w:widowControl/>
              <w:jc w:val="center"/>
              <w:rPr>
                <w:rFonts w:ascii="DengXian" w:hAnsi="DengXian" w:cs="DengXian"/>
                <w:b/>
                <w:bCs/>
                <w:color w:val="FFFFFF"/>
                <w:kern w:val="0"/>
                <w:sz w:val="22"/>
                <w:szCs w:val="22"/>
              </w:rPr>
            </w:pPr>
            <w:r>
              <w:rPr>
                <w:rFonts w:ascii="DengXian" w:hAnsi="DengXian" w:cs="宋体" w:hint="eastAsia"/>
                <w:b/>
                <w:bCs/>
                <w:color w:val="FFFFFF"/>
                <w:kern w:val="0"/>
                <w:sz w:val="22"/>
                <w:szCs w:val="22"/>
              </w:rPr>
              <w:t>一级</w:t>
            </w:r>
          </w:p>
        </w:tc>
        <w:tc>
          <w:tcPr>
            <w:tcW w:w="710" w:type="dxa"/>
            <w:tcBorders>
              <w:top w:val="nil"/>
              <w:left w:val="nil"/>
              <w:bottom w:val="nil"/>
              <w:right w:val="single" w:sz="4" w:space="0" w:color="auto"/>
            </w:tcBorders>
            <w:shd w:val="clear" w:color="000000" w:fill="404040"/>
            <w:noWrap/>
            <w:vAlign w:val="center"/>
          </w:tcPr>
          <w:p w:rsidR="003F71C1" w:rsidRDefault="003F71C1">
            <w:pPr>
              <w:widowControl/>
              <w:jc w:val="center"/>
              <w:rPr>
                <w:rFonts w:ascii="DengXian" w:hAnsi="DengXian" w:cs="DengXian"/>
                <w:b/>
                <w:bCs/>
                <w:color w:val="FFFFFF"/>
                <w:kern w:val="0"/>
                <w:sz w:val="22"/>
                <w:szCs w:val="22"/>
              </w:rPr>
            </w:pPr>
            <w:r>
              <w:rPr>
                <w:rFonts w:ascii="DengXian" w:hAnsi="DengXian" w:cs="宋体" w:hint="eastAsia"/>
                <w:b/>
                <w:bCs/>
                <w:color w:val="FFFFFF"/>
                <w:kern w:val="0"/>
                <w:sz w:val="22"/>
                <w:szCs w:val="22"/>
              </w:rPr>
              <w:t>二级</w:t>
            </w:r>
          </w:p>
        </w:tc>
        <w:tc>
          <w:tcPr>
            <w:tcW w:w="1984" w:type="dxa"/>
            <w:gridSpan w:val="2"/>
            <w:tcBorders>
              <w:top w:val="nil"/>
              <w:left w:val="nil"/>
              <w:bottom w:val="nil"/>
              <w:right w:val="single" w:sz="4" w:space="0" w:color="auto"/>
            </w:tcBorders>
            <w:shd w:val="clear" w:color="000000" w:fill="404040"/>
            <w:noWrap/>
            <w:vAlign w:val="center"/>
          </w:tcPr>
          <w:p w:rsidR="003F71C1" w:rsidRDefault="003F71C1">
            <w:pPr>
              <w:widowControl/>
              <w:jc w:val="center"/>
              <w:rPr>
                <w:rFonts w:ascii="DengXian" w:hAnsi="DengXian" w:cs="DengXian"/>
                <w:b/>
                <w:bCs/>
                <w:color w:val="FFFFFF"/>
                <w:kern w:val="0"/>
                <w:sz w:val="22"/>
                <w:szCs w:val="22"/>
              </w:rPr>
            </w:pPr>
            <w:r>
              <w:rPr>
                <w:rFonts w:ascii="DengXian" w:hAnsi="DengXian" w:cs="宋体" w:hint="eastAsia"/>
                <w:b/>
                <w:bCs/>
                <w:color w:val="FFFFFF"/>
                <w:kern w:val="0"/>
                <w:sz w:val="22"/>
                <w:szCs w:val="22"/>
              </w:rPr>
              <w:t>功能名称</w:t>
            </w:r>
          </w:p>
        </w:tc>
        <w:tc>
          <w:tcPr>
            <w:tcW w:w="7655" w:type="dxa"/>
            <w:gridSpan w:val="2"/>
            <w:tcBorders>
              <w:top w:val="nil"/>
              <w:left w:val="nil"/>
              <w:bottom w:val="nil"/>
              <w:right w:val="single" w:sz="4" w:space="0" w:color="auto"/>
            </w:tcBorders>
            <w:shd w:val="clear" w:color="000000" w:fill="404040"/>
            <w:noWrap/>
            <w:vAlign w:val="center"/>
          </w:tcPr>
          <w:p w:rsidR="003F71C1" w:rsidRDefault="003F71C1">
            <w:pPr>
              <w:widowControl/>
              <w:jc w:val="center"/>
              <w:rPr>
                <w:rFonts w:ascii="DengXian" w:hAnsi="DengXian" w:cs="DengXian"/>
                <w:b/>
                <w:bCs/>
                <w:color w:val="FFFFFF"/>
                <w:kern w:val="0"/>
                <w:sz w:val="22"/>
                <w:szCs w:val="22"/>
              </w:rPr>
            </w:pPr>
            <w:r>
              <w:rPr>
                <w:rFonts w:ascii="DengXian" w:hAnsi="DengXian" w:cs="宋体" w:hint="eastAsia"/>
                <w:b/>
                <w:bCs/>
                <w:color w:val="FFFFFF"/>
                <w:kern w:val="0"/>
                <w:sz w:val="22"/>
                <w:szCs w:val="22"/>
              </w:rPr>
              <w:t>功能说明</w:t>
            </w:r>
          </w:p>
        </w:tc>
      </w:tr>
      <w:tr w:rsidR="003F71C1" w:rsidRPr="00160245">
        <w:trPr>
          <w:trHeight w:val="270"/>
        </w:trPr>
        <w:tc>
          <w:tcPr>
            <w:tcW w:w="708" w:type="dxa"/>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首页</w:t>
            </w: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single" w:sz="4" w:space="0" w:color="auto"/>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基于</w:t>
            </w:r>
            <w:r>
              <w:rPr>
                <w:rFonts w:ascii="DengXian" w:hAnsi="DengXian" w:cs="DengXian"/>
                <w:color w:val="000000"/>
                <w:kern w:val="0"/>
                <w:sz w:val="22"/>
                <w:szCs w:val="22"/>
              </w:rPr>
              <w:t>Widget</w:t>
            </w:r>
            <w:r>
              <w:rPr>
                <w:rFonts w:ascii="DengXian" w:hAnsi="DengXian" w:cs="宋体" w:hint="eastAsia"/>
                <w:color w:val="000000"/>
                <w:kern w:val="0"/>
                <w:sz w:val="22"/>
                <w:szCs w:val="22"/>
              </w:rPr>
              <w:t>（微件）的管理，包括订单流量、流向的同比、环比等统计分析</w:t>
            </w:r>
          </w:p>
        </w:tc>
      </w:tr>
      <w:tr w:rsidR="003F71C1" w:rsidRPr="00160245">
        <w:trPr>
          <w:trHeight w:val="27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需求</w:t>
            </w: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货源</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查看货源</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根据不同的查询条件，查询货源运输需求</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货源报价</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按单价、按整单报价</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发布货源</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货源信息、路线、竞价方式、定向与公开等信息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手动转发布</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以当前公司的名义向下游转发布货源，下游对该货源的原始委托人不可见，实现商务信息隔离</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货源委托</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委托后生成订单</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自动委托下单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根据自定义设置中的策略，可选择由系统自动按最低价委托</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招标</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查看招标</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根据不同的查询条件，查询招标信息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发布招标</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货源信息、路线、开标时间、评标时间、执行日期区间等</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招标导出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招标及报价信息的批量导出</w:t>
            </w:r>
          </w:p>
        </w:tc>
      </w:tr>
      <w:tr w:rsidR="003F71C1" w:rsidRPr="00160245">
        <w:trPr>
          <w:trHeight w:val="27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交易</w:t>
            </w: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订单</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查看订单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创建订单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创建委托或承运订单；支持过票业务；合同金额和结算金额分离，调价过程可追溯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导入订单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批量导入订单</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导出订单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批量导出订单</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订单拆分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订单按段纵向拆分；按量横向拆分</w:t>
            </w:r>
            <w:r>
              <w:rPr>
                <w:rFonts w:ascii="DengXian" w:hAnsi="DengXian" w:cs="DengXian"/>
                <w:color w:val="000000"/>
                <w:kern w:val="0"/>
                <w:sz w:val="22"/>
                <w:szCs w:val="22"/>
              </w:rPr>
              <w:t>——</w:t>
            </w:r>
            <w:r>
              <w:rPr>
                <w:rFonts w:ascii="DengXian" w:hAnsi="DengXian" w:cs="宋体" w:hint="eastAsia"/>
                <w:color w:val="000000"/>
                <w:kern w:val="0"/>
                <w:sz w:val="22"/>
                <w:szCs w:val="22"/>
              </w:rPr>
              <w:t>可实现多式联运、整车</w:t>
            </w:r>
            <w:r>
              <w:rPr>
                <w:rFonts w:ascii="DengXian" w:hAnsi="DengXian" w:cs="DengXian"/>
                <w:color w:val="000000"/>
                <w:kern w:val="0"/>
                <w:sz w:val="22"/>
                <w:szCs w:val="22"/>
              </w:rPr>
              <w:t>/</w:t>
            </w:r>
            <w:r>
              <w:rPr>
                <w:rFonts w:ascii="DengXian" w:hAnsi="DengXian" w:cs="宋体" w:hint="eastAsia"/>
                <w:color w:val="000000"/>
                <w:kern w:val="0"/>
                <w:sz w:val="22"/>
                <w:szCs w:val="22"/>
              </w:rPr>
              <w:t>零担</w:t>
            </w:r>
            <w:r>
              <w:rPr>
                <w:rFonts w:ascii="DengXian" w:hAnsi="DengXian" w:cs="DengXian"/>
                <w:color w:val="000000"/>
                <w:kern w:val="0"/>
                <w:sz w:val="22"/>
                <w:szCs w:val="22"/>
              </w:rPr>
              <w:t>/</w:t>
            </w:r>
            <w:r>
              <w:rPr>
                <w:rFonts w:ascii="DengXian" w:hAnsi="DengXian" w:cs="宋体" w:hint="eastAsia"/>
                <w:color w:val="000000"/>
                <w:kern w:val="0"/>
                <w:sz w:val="22"/>
                <w:szCs w:val="22"/>
              </w:rPr>
              <w:t>内河等业务</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订单转包</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订单转包</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手动完结</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根据实际业务执行情况，手动完结订单，包括手动更新签收量、结算金额等</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余量完结</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对剩余订单量不予执行，提前完结订单</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批量打印</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订单批量打印</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回单导出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电子回单按照目录树批量导出</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调度配载</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针对当前订单调度派车，可多车次批量调度</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向下询价</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基于当前订单向下游询价，将生成新的货源信息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回单</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查看回单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根据不同的查询条件，查询纸质回单信息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接收登记</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从下游接收到纸质回单的登记，包括接收人、接收时间等</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转寄客户</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将纸质回单转寄给上游货主的信息登记</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催促回单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以手机短信催促下游实际承运人尽快提交纸质回单</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回单导出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纸质回单登记信息的批量导出</w:t>
            </w:r>
          </w:p>
        </w:tc>
      </w:tr>
      <w:tr w:rsidR="003F71C1" w:rsidRPr="00160245">
        <w:trPr>
          <w:trHeight w:val="270"/>
        </w:trPr>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调度</w:t>
            </w: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调度派车</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查看调度</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根据不同的查询条件，查询各种执行状态下的派车单信息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调度配载</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安排新的派车任务，支持批量订单的多车次批量调度，以及多订单的成本分摊等规则</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装车发运</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调度单提货，可上传装车照片、出库单照片等；支持基于电子围栏技术的发货地核查和强制措施</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调整装运量</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实际装运量调整</w:t>
            </w:r>
          </w:p>
        </w:tc>
      </w:tr>
      <w:tr w:rsidR="003F71C1" w:rsidRPr="00160245">
        <w:trPr>
          <w:trHeight w:val="54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调度签收</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调度单电子签收，可上传签收量、签收单和卸车照片，支持图片水印加密技术；支持基于电子围栏技术的签收地核查和强制措施</w:t>
            </w:r>
          </w:p>
        </w:tc>
      </w:tr>
      <w:tr w:rsidR="003F71C1" w:rsidRPr="00160245">
        <w:trPr>
          <w:trHeight w:val="54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调整签收量</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调度单签收量调整；根据自定义设置可关联调整订单的运费结算金额；支持两端取小、合理损耗等自定义指标</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调度中止</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执行过程中异常情况的手动中止</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调度作废</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作废调度单，可重新派车</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上传签收照片</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可上传签收量、签收单和卸车照片，支持图片水印加密技术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装运作业</w:t>
            </w:r>
          </w:p>
        </w:tc>
        <w:tc>
          <w:tcPr>
            <w:tcW w:w="1984" w:type="dxa"/>
            <w:gridSpan w:val="2"/>
            <w:tcBorders>
              <w:top w:val="nil"/>
              <w:left w:val="nil"/>
              <w:bottom w:val="nil"/>
              <w:right w:val="nil"/>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查看装运作业</w:t>
            </w:r>
          </w:p>
        </w:tc>
        <w:tc>
          <w:tcPr>
            <w:tcW w:w="7655" w:type="dxa"/>
            <w:gridSpan w:val="2"/>
            <w:tcBorders>
              <w:top w:val="nil"/>
              <w:left w:val="single" w:sz="4" w:space="0" w:color="auto"/>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根据不同的查询条件，查询当前排队中待装运车辆、货物、路线信息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车辆签到</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车辆到达提货现场的签到，进入排队队列</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通知入场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通过手机短信、</w:t>
            </w:r>
            <w:r>
              <w:rPr>
                <w:rFonts w:ascii="DengXian" w:hAnsi="DengXian" w:cs="DengXian"/>
                <w:color w:val="000000"/>
                <w:kern w:val="0"/>
                <w:sz w:val="22"/>
                <w:szCs w:val="22"/>
              </w:rPr>
              <w:t>APP</w:t>
            </w:r>
            <w:r>
              <w:rPr>
                <w:rFonts w:ascii="DengXian" w:hAnsi="DengXian" w:cs="宋体" w:hint="eastAsia"/>
                <w:color w:val="000000"/>
                <w:kern w:val="0"/>
                <w:sz w:val="22"/>
                <w:szCs w:val="22"/>
              </w:rPr>
              <w:t>消息通知司机开车进入场区装运货物</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装运发车</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货物装车后发运，录入实际提货量</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取消排队</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中途取消某车辆的排队</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候场大屏</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候场大厅中的滚动大屏，实时播放排队信息</w:t>
            </w:r>
          </w:p>
        </w:tc>
      </w:tr>
      <w:tr w:rsidR="003F71C1" w:rsidRPr="00160245">
        <w:trPr>
          <w:trHeight w:val="54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监控</w:t>
            </w: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预警</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查看预警</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将当前执行中的订单在大屏上投放，以动画的形式实时显示订单流向和流量；可查询执行中的订单、在途车辆的位置和轨迹、发生异常的订单</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订单进度</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查看订单进度</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根据不同的查询条件，查询执行中的订单的进度</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查看轨迹信息</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每个订单的每辆车的运输轨迹、当前位置、提货与签收量</w:t>
            </w:r>
          </w:p>
        </w:tc>
      </w:tr>
      <w:tr w:rsidR="003F71C1" w:rsidRPr="00160245">
        <w:trPr>
          <w:trHeight w:val="270"/>
        </w:trPr>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运输队</w:t>
            </w: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司机</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查看司机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根据不同的查询条件，查询司机信息；司机身份在线核验等</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新增司机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包括司机基本信息、运费结算对象、审核等；司机可编入不同运输队</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修改司机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修改司机信息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删除司机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删除司机</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司机导入</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司机信息的批量导入</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司机导出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司机信息的批量导出</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车辆</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查看车辆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根据不同的查询条件，查询车辆信息；车辆证照在线核验等</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车辆地图</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车辆在地图上的实时位置分布</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新增车辆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包括车辆基本信息、运费结算对象设置、审核等；车辆可编入不同运输队</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修改车辆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修改车辆信息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删除车辆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删除车辆</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车辆导入</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车辆信息的批量导入</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车辆导出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车辆信息的批量导出</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运输队</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查看运输队</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根据不同的查询条件，查询运输队；运输队的车辆数、司机数等</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新增运输队</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运输队基本信息录入，及运输队的运费结算对象</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修改运输队</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修改运输队信息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删除运输队</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删除运输队</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经营许可证</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查看许可证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道路运输经营许可证的查询</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新增许可证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新增许可证信息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修改许可证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修改许可证信息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删除许可证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删除许可证</w:t>
            </w:r>
          </w:p>
        </w:tc>
      </w:tr>
      <w:tr w:rsidR="003F71C1" w:rsidRPr="00160245">
        <w:trPr>
          <w:trHeight w:val="27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伙伴</w:t>
            </w: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托运人</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查看托运人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根据不同的查询条件，查询托运人信息，包括订单合计金额、车次数等</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新增托运人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新增托运人信息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修改托运人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修改托运人信息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删除托运人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删除托运人</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导入托运人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批量导入托运人信息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导出托运人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批量导出托运人信息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承运人</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查看承运人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根据不同的查询条件，查询承运人信息；承运用信用报告</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新增承运人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新增承运人信息，包括设定结算对象、银行帐号等</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修改承运人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修改承运人信息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删除承运人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删除承运人</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查看信用报告</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根据供应商评价体系，结合动静态等指标实时呈现供应商信用报告</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导出承运人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批量导出承运人信息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承运人审核</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审核后的承运人才能够正式参与平台业务</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收发货单位</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查看收发货单位</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根据不同的查询条件，查询收发货单位</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新增收发货单位</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新增收发货单位信息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修改收发货单位</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修改收发货单位信息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删除收发货单位</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删除收发货人</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导出收发货单位</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收发货单位信息批量导出</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供应商</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查看供应商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根据不同的查询条件，查询配件、消费业务等类型的供应商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新增供应商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新增供应商信息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修改供应商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修改供应商信息</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删除供应商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删除供应商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导出供应商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批量导出供应商信息</w:t>
            </w:r>
          </w:p>
        </w:tc>
      </w:tr>
      <w:tr w:rsidR="003F71C1" w:rsidRPr="00160245">
        <w:trPr>
          <w:trHeight w:val="270"/>
        </w:trPr>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财务</w:t>
            </w: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资金账户</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查看资金账号</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根据不同的查询条件，查询资金流水、余额</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充值</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现金充值</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提现</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提现</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支付</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支付</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密码修改</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修改资金操作密码</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管理银行卡</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管理银行卡；一个用户可以绑定多张银行卡</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交易记录导出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资金流水交易记录的批量导出</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消费账户</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查看消费账户</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根据不同的查询条件，查询各类消费账户的流水</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充值</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消费账户充值</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挂失</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消费账户（虚拟卡）挂失</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nil"/>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应收应付汇总</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查看应收应付汇总</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根据不同的查询条件，查询上下游企业</w:t>
            </w:r>
            <w:r>
              <w:rPr>
                <w:rFonts w:ascii="DengXian" w:hAnsi="DengXian" w:cs="DengXian"/>
                <w:color w:val="000000"/>
                <w:kern w:val="0"/>
                <w:sz w:val="22"/>
                <w:szCs w:val="22"/>
              </w:rPr>
              <w:t>/</w:t>
            </w:r>
            <w:r>
              <w:rPr>
                <w:rFonts w:ascii="DengXian" w:hAnsi="DengXian" w:cs="宋体" w:hint="eastAsia"/>
                <w:color w:val="000000"/>
                <w:kern w:val="0"/>
                <w:sz w:val="22"/>
                <w:szCs w:val="22"/>
              </w:rPr>
              <w:t>用户的应收应付汇总</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应收应付明细</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查看应收应付明细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根据不同的查询条件，查询各订单不同收付款进度的明细</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应收应付审核</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业务部门对应收应付的业务审核</w:t>
            </w:r>
            <w:r>
              <w:rPr>
                <w:rFonts w:ascii="DengXian" w:hAnsi="DengXian" w:cs="DengXian"/>
                <w:color w:val="000000"/>
                <w:kern w:val="0"/>
                <w:sz w:val="22"/>
                <w:szCs w:val="22"/>
              </w:rPr>
              <w:t>——</w:t>
            </w:r>
            <w:r>
              <w:rPr>
                <w:rFonts w:ascii="DengXian" w:hAnsi="DengXian" w:cs="宋体" w:hint="eastAsia"/>
                <w:color w:val="000000"/>
                <w:kern w:val="0"/>
                <w:sz w:val="22"/>
                <w:szCs w:val="22"/>
              </w:rPr>
              <w:t>之后进入资金结算流程</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撤销审核</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撤销审核</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查看记账凭证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查看记账凭证</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财务核销</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支持手工核销，和基于在线支付的自动核销；核销后自动产生记账凭证</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财务冲销</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财务冲销，可追溯；冲销后自动产生记账凭证</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记账凭证</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手工凭证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手工创建凭证。适用于公司临时性现金收支的记录</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修改凭证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修改记账凭证</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删除凭证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删除记账凭证</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凭证审核</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凭证审核</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添加发票</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添加发票。支持多笔业务合并一张发票；或单笔业务拆分多张发票</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修改发票</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修改发票信息</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删除发票</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删除发票</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财务设置</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维护会计科目</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按照方向，可维护不限层级的会计科目</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维护费用模板</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多项会计科目，以及科目对应的多种算法，组合形成运费收支的模板</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维护运价策略</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针对不同路线、运输方式、客户对象，套用费用模板组合形成运价策略</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维护结算规则</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分别设定现付、到付、回单付等付款进度的触发时间和事件</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维护平台费用</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设定过票业务场景下，平台向上下游收取费用的自定义逻辑</w:t>
            </w:r>
          </w:p>
        </w:tc>
      </w:tr>
      <w:tr w:rsidR="003F71C1" w:rsidRPr="00160245">
        <w:trPr>
          <w:trHeight w:val="270"/>
        </w:trPr>
        <w:tc>
          <w:tcPr>
            <w:tcW w:w="708"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nil"/>
              <w:right w:val="nil"/>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维护过票业务</w:t>
            </w:r>
          </w:p>
        </w:tc>
        <w:tc>
          <w:tcPr>
            <w:tcW w:w="7655" w:type="dxa"/>
            <w:gridSpan w:val="2"/>
            <w:tcBorders>
              <w:top w:val="nil"/>
              <w:left w:val="single" w:sz="4" w:space="0" w:color="auto"/>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设定是否开启过票业务，以及过票业务的适用对象和业务范围</w:t>
            </w:r>
          </w:p>
        </w:tc>
      </w:tr>
      <w:tr w:rsidR="003F71C1" w:rsidRPr="00160245">
        <w:trPr>
          <w:trHeight w:val="270"/>
        </w:trPr>
        <w:tc>
          <w:tcPr>
            <w:tcW w:w="708" w:type="dxa"/>
            <w:vMerge w:val="restart"/>
            <w:tcBorders>
              <w:top w:val="nil"/>
              <w:left w:val="single" w:sz="4" w:space="0" w:color="auto"/>
              <w:bottom w:val="nil"/>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数据</w:t>
            </w:r>
          </w:p>
        </w:tc>
        <w:tc>
          <w:tcPr>
            <w:tcW w:w="710"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报表中心</w:t>
            </w: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平台运营分析报告</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平台整体运营水平的实时统计分析，同比、环比等</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订单流向统计</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按路线统计订单的流向、流量，以及毛利率等指标</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承运人订单统计</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按照承运人统计订单的细节指标</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托运人订单统计</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按照托运人统计订单的细节指标</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货物托运明细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按照货物统计托运明细</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货物承运明细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按照货物统计承运明细</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收货人订单统计</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按照收货人统计订单明细</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发货人订单统计</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按照发货人统计订单明细</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数据导入</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批量数据导入的异步进度管理</w:t>
            </w:r>
          </w:p>
        </w:tc>
      </w:tr>
      <w:tr w:rsidR="003F71C1" w:rsidRPr="00160245">
        <w:trPr>
          <w:trHeight w:val="270"/>
        </w:trPr>
        <w:tc>
          <w:tcPr>
            <w:tcW w:w="708" w:type="dxa"/>
            <w:vMerge/>
            <w:tcBorders>
              <w:top w:val="nil"/>
              <w:left w:val="single" w:sz="4" w:space="0" w:color="auto"/>
              <w:bottom w:val="nil"/>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数据下载</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批量数据导出的异步进度管理</w:t>
            </w:r>
          </w:p>
        </w:tc>
      </w:tr>
      <w:tr w:rsidR="003F71C1" w:rsidRPr="00160245">
        <w:trPr>
          <w:trHeight w:val="270"/>
        </w:trPr>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设置</w:t>
            </w: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用户中心</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查看用户资料</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查看用户资料</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修改用户资料</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修改用户资料</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查看公司信息</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查看公司信息</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修改公司信息</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修改公司信息</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查看组织结构</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查看公司组织结构、岗位、人员等信息</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组织结构管理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支持集团化的分子公司、部门、岗位的不限层级管理</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权限管理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原子级的功能权限管理，和数据权限访问控制管理</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消息中心</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查看消息</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查看系统消息</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消息删除</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删除系统消息</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常用信息</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常用联系人</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常用联系人信息维护</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常用配件</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常用配件信息维护</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常用货物</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常用货物信息维护</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常用地址</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常用收发货地址信息的维护</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自定义</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偏好设置</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nil"/>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用户注册</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设定平台是否允许开放式注册</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货源自动转发</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平台获得货源后，是否以平台名义自动向下游转发</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nil"/>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发布范围</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货源发布时，公开、定向、只限定发布给平台等多种逻辑限定</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报价设置</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是否认证司机才能参与报价</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nil"/>
              <w:right w:val="nil"/>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最低价自动委托</w:t>
            </w:r>
          </w:p>
        </w:tc>
        <w:tc>
          <w:tcPr>
            <w:tcW w:w="7655" w:type="dxa"/>
            <w:gridSpan w:val="2"/>
            <w:tcBorders>
              <w:top w:val="nil"/>
              <w:left w:val="single" w:sz="4" w:space="0" w:color="auto"/>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是否开启自动按照最低价委托，将自动生成委运订单</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nil"/>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评价节点</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设定在什么业务环节可进行上下游的服务评价</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nil"/>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评价次数</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设定是否允许多次评价</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nil"/>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短息通道开关</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设定是否启用手机短信通道</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nil"/>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货损赔偿</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根据提货量和签收量的差，设定是否自动生成货损赔偿</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nil"/>
              <w:right w:val="single" w:sz="4" w:space="0" w:color="auto"/>
            </w:tcBorders>
            <w:shd w:val="clear" w:color="000000" w:fill="FFFFFF"/>
            <w:noWrap/>
            <w:vAlign w:val="center"/>
          </w:tcPr>
          <w:p w:rsidR="003F71C1" w:rsidRDefault="003F71C1">
            <w:pPr>
              <w:widowControl/>
              <w:jc w:val="right"/>
              <w:rPr>
                <w:rFonts w:ascii="DengXian" w:hAnsi="DengXian" w:cs="DengXian"/>
                <w:color w:val="000000"/>
                <w:kern w:val="0"/>
                <w:sz w:val="22"/>
                <w:szCs w:val="22"/>
              </w:rPr>
            </w:pPr>
            <w:r>
              <w:rPr>
                <w:rFonts w:ascii="DengXian" w:hAnsi="DengXian" w:cs="宋体" w:hint="eastAsia"/>
                <w:color w:val="000000"/>
                <w:kern w:val="0"/>
                <w:sz w:val="22"/>
                <w:szCs w:val="22"/>
              </w:rPr>
              <w:t>调整结算价</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设定是否根据签收量反向自动调整结算价</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菜单管理</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菜单的自定义管理</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字段扩展</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单价的扩展字段管理，字段支持文本、数字、逻辑等不同类型，以及是否必填项等</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编号规则</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单据编号规则的自定义</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数据字典</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数据字典的维护</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单据打印</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订单、派车单等关键业务单据的套打模板维护</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承运人考核</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承运人考核指标体系的自定义</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订单分配</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按照路线、货物品类、客户的不同，自动派发订单到指定的部门和小组</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消息推送</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手机短信、</w:t>
            </w:r>
            <w:r>
              <w:rPr>
                <w:rFonts w:ascii="DengXian" w:hAnsi="DengXian" w:cs="DengXian"/>
                <w:color w:val="000000"/>
                <w:kern w:val="0"/>
                <w:sz w:val="22"/>
                <w:szCs w:val="22"/>
              </w:rPr>
              <w:t>APP</w:t>
            </w:r>
            <w:r>
              <w:rPr>
                <w:rFonts w:ascii="DengXian" w:hAnsi="DengXian" w:cs="宋体" w:hint="eastAsia"/>
                <w:color w:val="000000"/>
                <w:kern w:val="0"/>
                <w:sz w:val="22"/>
                <w:szCs w:val="22"/>
              </w:rPr>
              <w:t>消息、邮件、</w:t>
            </w:r>
            <w:r>
              <w:rPr>
                <w:rFonts w:ascii="DengXian" w:hAnsi="DengXian" w:cs="DengXian"/>
                <w:color w:val="000000"/>
                <w:kern w:val="0"/>
                <w:sz w:val="22"/>
                <w:szCs w:val="22"/>
              </w:rPr>
              <w:t>WEB</w:t>
            </w:r>
            <w:r>
              <w:rPr>
                <w:rFonts w:ascii="DengXian" w:hAnsi="DengXian" w:cs="宋体" w:hint="eastAsia"/>
                <w:color w:val="000000"/>
                <w:kern w:val="0"/>
                <w:sz w:val="22"/>
                <w:szCs w:val="22"/>
              </w:rPr>
              <w:t>系统消息等多通道的消息推送自定义</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消息订阅</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手机短信、</w:t>
            </w:r>
            <w:r>
              <w:rPr>
                <w:rFonts w:ascii="DengXian" w:hAnsi="DengXian" w:cs="DengXian"/>
                <w:color w:val="000000"/>
                <w:kern w:val="0"/>
                <w:sz w:val="22"/>
                <w:szCs w:val="22"/>
              </w:rPr>
              <w:t>APP</w:t>
            </w:r>
            <w:r>
              <w:rPr>
                <w:rFonts w:ascii="DengXian" w:hAnsi="DengXian" w:cs="宋体" w:hint="eastAsia"/>
                <w:color w:val="000000"/>
                <w:kern w:val="0"/>
                <w:sz w:val="22"/>
                <w:szCs w:val="22"/>
              </w:rPr>
              <w:t>消息、邮件、</w:t>
            </w:r>
            <w:r>
              <w:rPr>
                <w:rFonts w:ascii="DengXian" w:hAnsi="DengXian" w:cs="DengXian"/>
                <w:color w:val="000000"/>
                <w:kern w:val="0"/>
                <w:sz w:val="22"/>
                <w:szCs w:val="22"/>
              </w:rPr>
              <w:t>WEB</w:t>
            </w:r>
            <w:r>
              <w:rPr>
                <w:rFonts w:ascii="DengXian" w:hAnsi="DengXian" w:cs="宋体" w:hint="eastAsia"/>
                <w:color w:val="000000"/>
                <w:kern w:val="0"/>
                <w:sz w:val="22"/>
                <w:szCs w:val="22"/>
              </w:rPr>
              <w:t>系统消息等多通道的消息订阅自定义</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官网首页</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平台官网首页的自定义管理，包括</w:t>
            </w:r>
            <w:r>
              <w:rPr>
                <w:rFonts w:ascii="DengXian" w:hAnsi="DengXian" w:cs="DengXian"/>
                <w:color w:val="000000"/>
                <w:kern w:val="0"/>
                <w:sz w:val="22"/>
                <w:szCs w:val="22"/>
              </w:rPr>
              <w:t>Banner</w:t>
            </w:r>
            <w:r>
              <w:rPr>
                <w:rFonts w:ascii="DengXian" w:hAnsi="DengXian" w:cs="宋体" w:hint="eastAsia"/>
                <w:color w:val="000000"/>
                <w:kern w:val="0"/>
                <w:sz w:val="22"/>
                <w:szCs w:val="22"/>
              </w:rPr>
              <w:t>广告位图片投放等</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val="restart"/>
            <w:tcBorders>
              <w:top w:val="nil"/>
              <w:left w:val="single" w:sz="4" w:space="0" w:color="auto"/>
              <w:bottom w:val="single" w:sz="4" w:space="0" w:color="000000"/>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操作日志</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查看日志</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查看系统操作日志</w:t>
            </w:r>
          </w:p>
        </w:tc>
      </w:tr>
      <w:tr w:rsidR="003F71C1" w:rsidRPr="00160245">
        <w:trPr>
          <w:trHeight w:val="270"/>
        </w:trPr>
        <w:tc>
          <w:tcPr>
            <w:tcW w:w="708" w:type="dxa"/>
            <w:vMerge/>
            <w:tcBorders>
              <w:top w:val="single" w:sz="4" w:space="0" w:color="auto"/>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vMerge/>
            <w:tcBorders>
              <w:top w:val="nil"/>
              <w:left w:val="single" w:sz="4" w:space="0" w:color="auto"/>
              <w:bottom w:val="single" w:sz="4" w:space="0" w:color="000000"/>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删除日志</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删除系统操作日志</w:t>
            </w:r>
          </w:p>
        </w:tc>
      </w:tr>
      <w:tr w:rsidR="003F71C1" w:rsidRPr="00160245">
        <w:trPr>
          <w:trHeight w:val="270"/>
        </w:trPr>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运营</w:t>
            </w: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货源</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针对全平台的货源信息查询</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订单</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针对全平台的订单信息查询</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调度</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针对全平台的调度信息查询</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跟踪</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针对全平台的订单执行进度跟踪</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司机</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针对全平台的司机信息查询、导入导出、审核认证等管理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车辆</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针对全平台的车辆信息查询、导入导出、审核认证等管理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用户</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针对全平台的用户开户、注销、禁用等管理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公司</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针对全平台的公司登记、审核、禁用等管理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公众号</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平台与微信公众号的信息发布管理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消费业务</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油卡、</w:t>
            </w:r>
            <w:r>
              <w:rPr>
                <w:rFonts w:ascii="DengXian" w:hAnsi="DengXian" w:cs="DengXian"/>
                <w:color w:val="000000"/>
                <w:kern w:val="0"/>
                <w:sz w:val="22"/>
                <w:szCs w:val="22"/>
              </w:rPr>
              <w:t>ETC</w:t>
            </w:r>
            <w:r>
              <w:rPr>
                <w:rFonts w:ascii="DengXian" w:hAnsi="DengXian" w:cs="宋体" w:hint="eastAsia"/>
                <w:color w:val="000000"/>
                <w:kern w:val="0"/>
                <w:sz w:val="22"/>
                <w:szCs w:val="22"/>
              </w:rPr>
              <w:t>卡、维修卡等各种第三方消费类业务的导入和管理</w:t>
            </w:r>
          </w:p>
        </w:tc>
      </w:tr>
      <w:tr w:rsidR="003F71C1" w:rsidRPr="00160245">
        <w:trPr>
          <w:trHeight w:val="270"/>
        </w:trPr>
        <w:tc>
          <w:tcPr>
            <w:tcW w:w="708" w:type="dxa"/>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710" w:type="dxa"/>
            <w:tcBorders>
              <w:top w:val="nil"/>
              <w:left w:val="nil"/>
              <w:bottom w:val="single" w:sz="4" w:space="0" w:color="auto"/>
              <w:right w:val="single" w:sz="4" w:space="0" w:color="auto"/>
            </w:tcBorders>
            <w:shd w:val="clear" w:color="000000" w:fill="FFFFFF"/>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监测数据</w:t>
            </w:r>
          </w:p>
        </w:tc>
        <w:tc>
          <w:tcPr>
            <w:tcW w:w="1984" w:type="dxa"/>
            <w:gridSpan w:val="2"/>
            <w:tcBorders>
              <w:top w:val="nil"/>
              <w:left w:val="nil"/>
              <w:bottom w:val="single" w:sz="4" w:space="0" w:color="auto"/>
              <w:right w:val="single" w:sz="4" w:space="0" w:color="auto"/>
            </w:tcBorders>
            <w:shd w:val="clear" w:color="000000" w:fill="FFFFFF"/>
            <w:noWrap/>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c>
          <w:tcPr>
            <w:tcW w:w="7655" w:type="dxa"/>
            <w:gridSpan w:val="2"/>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平台运单数据、资金流水数据到交通部、省无车承运人监管平台的推送管理</w:t>
            </w:r>
          </w:p>
        </w:tc>
      </w:tr>
      <w:tr w:rsidR="003F71C1" w:rsidRPr="00160245">
        <w:trPr>
          <w:trHeight w:val="270"/>
        </w:trPr>
        <w:tc>
          <w:tcPr>
            <w:tcW w:w="11057" w:type="dxa"/>
            <w:gridSpan w:val="6"/>
            <w:tcBorders>
              <w:top w:val="single" w:sz="4" w:space="0" w:color="auto"/>
              <w:left w:val="single" w:sz="4" w:space="0" w:color="auto"/>
              <w:bottom w:val="single" w:sz="4" w:space="0" w:color="auto"/>
              <w:right w:val="single" w:sz="4" w:space="0" w:color="000000"/>
            </w:tcBorders>
            <w:shd w:val="clear" w:color="000000" w:fill="808080"/>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 xml:space="preserve">　</w:t>
            </w:r>
          </w:p>
        </w:tc>
      </w:tr>
      <w:tr w:rsidR="003F71C1" w:rsidRPr="00160245">
        <w:trPr>
          <w:trHeight w:val="270"/>
        </w:trPr>
        <w:tc>
          <w:tcPr>
            <w:tcW w:w="2011" w:type="dxa"/>
            <w:gridSpan w:val="3"/>
            <w:vMerge w:val="restart"/>
            <w:tcBorders>
              <w:top w:val="nil"/>
              <w:left w:val="single" w:sz="4" w:space="0" w:color="auto"/>
              <w:bottom w:val="single" w:sz="4" w:space="0" w:color="auto"/>
              <w:right w:val="single" w:sz="4" w:space="0" w:color="auto"/>
            </w:tcBorders>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第三方接入</w:t>
            </w:r>
          </w:p>
        </w:tc>
        <w:tc>
          <w:tcPr>
            <w:tcW w:w="2471" w:type="dxa"/>
            <w:gridSpan w:val="2"/>
            <w:tcBorders>
              <w:top w:val="single" w:sz="4" w:space="0" w:color="auto"/>
              <w:left w:val="nil"/>
              <w:bottom w:val="single" w:sz="4" w:space="0" w:color="auto"/>
              <w:right w:val="single" w:sz="4" w:space="0" w:color="auto"/>
            </w:tcBorders>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省部级监管平台接入</w:t>
            </w:r>
          </w:p>
        </w:tc>
        <w:tc>
          <w:tcPr>
            <w:tcW w:w="6575" w:type="dxa"/>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交通部以及省无车承运人监管平台的接入，支持手动和自动上传两种模式。</w:t>
            </w:r>
          </w:p>
        </w:tc>
      </w:tr>
      <w:tr w:rsidR="003F71C1" w:rsidRPr="00160245">
        <w:trPr>
          <w:trHeight w:val="270"/>
        </w:trPr>
        <w:tc>
          <w:tcPr>
            <w:tcW w:w="2011" w:type="dxa"/>
            <w:gridSpan w:val="3"/>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2471" w:type="dxa"/>
            <w:gridSpan w:val="2"/>
            <w:tcBorders>
              <w:top w:val="single" w:sz="4" w:space="0" w:color="auto"/>
              <w:left w:val="nil"/>
              <w:bottom w:val="single" w:sz="4" w:space="0" w:color="auto"/>
              <w:right w:val="single" w:sz="4" w:space="0" w:color="auto"/>
            </w:tcBorders>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位置服务平台接入</w:t>
            </w:r>
          </w:p>
        </w:tc>
        <w:tc>
          <w:tcPr>
            <w:tcW w:w="6575" w:type="dxa"/>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国家物流信息服务平台的位置服务接入，实时查询车辆的行驶轨迹和当前位置。</w:t>
            </w:r>
          </w:p>
        </w:tc>
      </w:tr>
      <w:tr w:rsidR="003F71C1" w:rsidRPr="00160245">
        <w:trPr>
          <w:trHeight w:val="270"/>
        </w:trPr>
        <w:tc>
          <w:tcPr>
            <w:tcW w:w="2011" w:type="dxa"/>
            <w:gridSpan w:val="3"/>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2471" w:type="dxa"/>
            <w:gridSpan w:val="2"/>
            <w:tcBorders>
              <w:top w:val="single" w:sz="4" w:space="0" w:color="auto"/>
              <w:left w:val="nil"/>
              <w:bottom w:val="single" w:sz="4" w:space="0" w:color="auto"/>
              <w:right w:val="single" w:sz="4" w:space="0" w:color="auto"/>
            </w:tcBorders>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车辆和司机验证接入</w:t>
            </w:r>
          </w:p>
        </w:tc>
        <w:tc>
          <w:tcPr>
            <w:tcW w:w="6575" w:type="dxa"/>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车辆证照的在线核验，以及司机身份在线验证服务。</w:t>
            </w:r>
          </w:p>
        </w:tc>
      </w:tr>
      <w:tr w:rsidR="003F71C1" w:rsidRPr="00160245">
        <w:trPr>
          <w:trHeight w:val="270"/>
        </w:trPr>
        <w:tc>
          <w:tcPr>
            <w:tcW w:w="2011" w:type="dxa"/>
            <w:gridSpan w:val="3"/>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2471" w:type="dxa"/>
            <w:gridSpan w:val="2"/>
            <w:tcBorders>
              <w:top w:val="single" w:sz="4" w:space="0" w:color="auto"/>
              <w:left w:val="nil"/>
              <w:bottom w:val="single" w:sz="4" w:space="0" w:color="auto"/>
              <w:right w:val="single" w:sz="4" w:space="0" w:color="auto"/>
            </w:tcBorders>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银行在线支付接入</w:t>
            </w:r>
          </w:p>
        </w:tc>
        <w:tc>
          <w:tcPr>
            <w:tcW w:w="6575" w:type="dxa"/>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银行在线支付接入，支持在线开户、充值、转账、提现；基于商户账户和二级虚拟账户管理结构。</w:t>
            </w:r>
          </w:p>
        </w:tc>
      </w:tr>
      <w:tr w:rsidR="003F71C1" w:rsidRPr="00160245">
        <w:trPr>
          <w:trHeight w:val="270"/>
        </w:trPr>
        <w:tc>
          <w:tcPr>
            <w:tcW w:w="2011" w:type="dxa"/>
            <w:gridSpan w:val="3"/>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2471" w:type="dxa"/>
            <w:gridSpan w:val="2"/>
            <w:tcBorders>
              <w:top w:val="single" w:sz="4" w:space="0" w:color="auto"/>
              <w:left w:val="nil"/>
              <w:bottom w:val="single" w:sz="4" w:space="0" w:color="auto"/>
              <w:right w:val="single" w:sz="4" w:space="0" w:color="auto"/>
            </w:tcBorders>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在线保险业务接入</w:t>
            </w:r>
          </w:p>
        </w:tc>
        <w:tc>
          <w:tcPr>
            <w:tcW w:w="6575" w:type="dxa"/>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无车承运人责任险、货运险等不同险种的接入，在线生成保单</w:t>
            </w:r>
          </w:p>
        </w:tc>
      </w:tr>
      <w:tr w:rsidR="003F71C1" w:rsidRPr="00160245">
        <w:trPr>
          <w:trHeight w:val="270"/>
        </w:trPr>
        <w:tc>
          <w:tcPr>
            <w:tcW w:w="2011" w:type="dxa"/>
            <w:gridSpan w:val="3"/>
            <w:vMerge/>
            <w:tcBorders>
              <w:top w:val="nil"/>
              <w:left w:val="single" w:sz="4" w:space="0" w:color="auto"/>
              <w:bottom w:val="single" w:sz="4" w:space="0" w:color="auto"/>
              <w:right w:val="single" w:sz="4" w:space="0" w:color="auto"/>
            </w:tcBorders>
            <w:vAlign w:val="center"/>
          </w:tcPr>
          <w:p w:rsidR="003F71C1" w:rsidRDefault="003F71C1">
            <w:pPr>
              <w:widowControl/>
              <w:jc w:val="left"/>
              <w:rPr>
                <w:rFonts w:ascii="DengXian" w:hAnsi="DengXian" w:cs="DengXian"/>
                <w:color w:val="000000"/>
                <w:kern w:val="0"/>
                <w:sz w:val="22"/>
                <w:szCs w:val="22"/>
              </w:rPr>
            </w:pPr>
          </w:p>
        </w:tc>
        <w:tc>
          <w:tcPr>
            <w:tcW w:w="2471" w:type="dxa"/>
            <w:gridSpan w:val="2"/>
            <w:tcBorders>
              <w:top w:val="single" w:sz="4" w:space="0" w:color="auto"/>
              <w:left w:val="nil"/>
              <w:bottom w:val="single" w:sz="4" w:space="0" w:color="auto"/>
              <w:right w:val="single" w:sz="4" w:space="0" w:color="auto"/>
            </w:tcBorders>
            <w:noWrap/>
            <w:vAlign w:val="center"/>
          </w:tcPr>
          <w:p w:rsidR="003F71C1" w:rsidRDefault="003F71C1">
            <w:pPr>
              <w:widowControl/>
              <w:jc w:val="center"/>
              <w:rPr>
                <w:rFonts w:ascii="DengXian" w:hAnsi="DengXian" w:cs="DengXian"/>
                <w:color w:val="000000"/>
                <w:kern w:val="0"/>
                <w:sz w:val="22"/>
                <w:szCs w:val="22"/>
              </w:rPr>
            </w:pPr>
            <w:r>
              <w:rPr>
                <w:rFonts w:ascii="DengXian" w:hAnsi="DengXian" w:cs="宋体" w:hint="eastAsia"/>
                <w:color w:val="000000"/>
                <w:kern w:val="0"/>
                <w:sz w:val="22"/>
                <w:szCs w:val="22"/>
              </w:rPr>
              <w:t>场站终端硬件设备接入</w:t>
            </w:r>
          </w:p>
        </w:tc>
        <w:tc>
          <w:tcPr>
            <w:tcW w:w="6575" w:type="dxa"/>
            <w:tcBorders>
              <w:top w:val="nil"/>
              <w:left w:val="nil"/>
              <w:bottom w:val="single" w:sz="4" w:space="0" w:color="auto"/>
              <w:right w:val="single" w:sz="4" w:space="0" w:color="auto"/>
            </w:tcBorders>
            <w:shd w:val="clear" w:color="000000" w:fill="FFFFFF"/>
            <w:vAlign w:val="center"/>
          </w:tcPr>
          <w:p w:rsidR="003F71C1" w:rsidRDefault="003F71C1">
            <w:pPr>
              <w:widowControl/>
              <w:jc w:val="left"/>
              <w:rPr>
                <w:rFonts w:ascii="DengXian" w:hAnsi="DengXian" w:cs="DengXian"/>
                <w:color w:val="000000"/>
                <w:kern w:val="0"/>
                <w:sz w:val="22"/>
                <w:szCs w:val="22"/>
              </w:rPr>
            </w:pPr>
            <w:r>
              <w:rPr>
                <w:rFonts w:ascii="DengXian" w:hAnsi="DengXian" w:cs="宋体" w:hint="eastAsia"/>
                <w:color w:val="000000"/>
                <w:kern w:val="0"/>
                <w:sz w:val="22"/>
                <w:szCs w:val="22"/>
              </w:rPr>
              <w:t>场站电子道闸、地磅等硬件基础设施的接入，实现线上线下的全流程自动化。</w:t>
            </w:r>
          </w:p>
        </w:tc>
      </w:tr>
    </w:tbl>
    <w:p w:rsidR="003F71C1" w:rsidRDefault="003F71C1">
      <w:pPr>
        <w:snapToGrid w:val="0"/>
        <w:rPr>
          <w:rFonts w:ascii="仿宋_GB2312" w:eastAsia="仿宋_GB2312" w:hAnsi="仿宋_GB2312" w:cs="Times New Roman"/>
          <w:sz w:val="32"/>
          <w:szCs w:val="32"/>
        </w:rPr>
      </w:pPr>
    </w:p>
    <w:sectPr w:rsidR="003F71C1" w:rsidSect="00984447">
      <w:pgSz w:w="11906" w:h="16838"/>
      <w:pgMar w:top="1213" w:right="1576" w:bottom="1157" w:left="15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DengXi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510"/>
    <w:rsid w:val="0000401D"/>
    <w:rsid w:val="0006627F"/>
    <w:rsid w:val="0007472E"/>
    <w:rsid w:val="0008208D"/>
    <w:rsid w:val="000827FD"/>
    <w:rsid w:val="00087D9E"/>
    <w:rsid w:val="000A2CFD"/>
    <w:rsid w:val="000B49D7"/>
    <w:rsid w:val="000C13AC"/>
    <w:rsid w:val="000C47C7"/>
    <w:rsid w:val="000C52DD"/>
    <w:rsid w:val="000D2D38"/>
    <w:rsid w:val="000D39A6"/>
    <w:rsid w:val="000D6148"/>
    <w:rsid w:val="000D6A73"/>
    <w:rsid w:val="000E13B7"/>
    <w:rsid w:val="000E4809"/>
    <w:rsid w:val="000F1C79"/>
    <w:rsid w:val="0010663D"/>
    <w:rsid w:val="00106C66"/>
    <w:rsid w:val="001134D0"/>
    <w:rsid w:val="0011634E"/>
    <w:rsid w:val="00117F1A"/>
    <w:rsid w:val="00120AB9"/>
    <w:rsid w:val="001217CE"/>
    <w:rsid w:val="001345AF"/>
    <w:rsid w:val="00143510"/>
    <w:rsid w:val="00153138"/>
    <w:rsid w:val="00154DCC"/>
    <w:rsid w:val="00160245"/>
    <w:rsid w:val="00161C62"/>
    <w:rsid w:val="00165D62"/>
    <w:rsid w:val="00166B8D"/>
    <w:rsid w:val="00172358"/>
    <w:rsid w:val="0017601D"/>
    <w:rsid w:val="00180423"/>
    <w:rsid w:val="00182AEE"/>
    <w:rsid w:val="001B083A"/>
    <w:rsid w:val="001B0C69"/>
    <w:rsid w:val="001B2302"/>
    <w:rsid w:val="001B4227"/>
    <w:rsid w:val="001B77C9"/>
    <w:rsid w:val="001C189B"/>
    <w:rsid w:val="001C3DBC"/>
    <w:rsid w:val="001D034E"/>
    <w:rsid w:val="001D3BFE"/>
    <w:rsid w:val="001E0200"/>
    <w:rsid w:val="001E77DF"/>
    <w:rsid w:val="001F5B62"/>
    <w:rsid w:val="001F5DEE"/>
    <w:rsid w:val="00206E75"/>
    <w:rsid w:val="0021117C"/>
    <w:rsid w:val="0021356D"/>
    <w:rsid w:val="002303F4"/>
    <w:rsid w:val="00232591"/>
    <w:rsid w:val="002647D6"/>
    <w:rsid w:val="0026529C"/>
    <w:rsid w:val="0027585B"/>
    <w:rsid w:val="00277730"/>
    <w:rsid w:val="0028355A"/>
    <w:rsid w:val="0028547A"/>
    <w:rsid w:val="00291E39"/>
    <w:rsid w:val="002938EF"/>
    <w:rsid w:val="002A4EAD"/>
    <w:rsid w:val="002B11B9"/>
    <w:rsid w:val="002B1B0B"/>
    <w:rsid w:val="002C5488"/>
    <w:rsid w:val="002E7162"/>
    <w:rsid w:val="002F5480"/>
    <w:rsid w:val="002F6C9C"/>
    <w:rsid w:val="00312D2B"/>
    <w:rsid w:val="00314DE3"/>
    <w:rsid w:val="0031564B"/>
    <w:rsid w:val="003272F6"/>
    <w:rsid w:val="0033130C"/>
    <w:rsid w:val="00335D7A"/>
    <w:rsid w:val="00364853"/>
    <w:rsid w:val="00385C8F"/>
    <w:rsid w:val="00390960"/>
    <w:rsid w:val="00397788"/>
    <w:rsid w:val="003A55BB"/>
    <w:rsid w:val="003B300D"/>
    <w:rsid w:val="003B3967"/>
    <w:rsid w:val="003B53B6"/>
    <w:rsid w:val="003B566F"/>
    <w:rsid w:val="003C3C74"/>
    <w:rsid w:val="003D2BE0"/>
    <w:rsid w:val="003D2E66"/>
    <w:rsid w:val="003D4EDF"/>
    <w:rsid w:val="003D7C05"/>
    <w:rsid w:val="003E5625"/>
    <w:rsid w:val="003F4A41"/>
    <w:rsid w:val="003F4D77"/>
    <w:rsid w:val="003F71C1"/>
    <w:rsid w:val="003F79B7"/>
    <w:rsid w:val="004128DB"/>
    <w:rsid w:val="00416C4D"/>
    <w:rsid w:val="00416F7D"/>
    <w:rsid w:val="00444540"/>
    <w:rsid w:val="00452F12"/>
    <w:rsid w:val="004567D8"/>
    <w:rsid w:val="00461ED6"/>
    <w:rsid w:val="00464CBC"/>
    <w:rsid w:val="00470B70"/>
    <w:rsid w:val="0047426B"/>
    <w:rsid w:val="004746B1"/>
    <w:rsid w:val="004B0C33"/>
    <w:rsid w:val="004F331D"/>
    <w:rsid w:val="00510925"/>
    <w:rsid w:val="00531EFF"/>
    <w:rsid w:val="005323B8"/>
    <w:rsid w:val="00534105"/>
    <w:rsid w:val="00534210"/>
    <w:rsid w:val="00534C3D"/>
    <w:rsid w:val="00537B1F"/>
    <w:rsid w:val="00543ADC"/>
    <w:rsid w:val="00550EE0"/>
    <w:rsid w:val="00553A6D"/>
    <w:rsid w:val="0056167C"/>
    <w:rsid w:val="0057017D"/>
    <w:rsid w:val="005719F6"/>
    <w:rsid w:val="00577A63"/>
    <w:rsid w:val="00590109"/>
    <w:rsid w:val="005901FC"/>
    <w:rsid w:val="005C0445"/>
    <w:rsid w:val="005C0938"/>
    <w:rsid w:val="005C2BB5"/>
    <w:rsid w:val="005C77CA"/>
    <w:rsid w:val="005D09CA"/>
    <w:rsid w:val="00606198"/>
    <w:rsid w:val="00613051"/>
    <w:rsid w:val="0062129E"/>
    <w:rsid w:val="00627A47"/>
    <w:rsid w:val="00631C56"/>
    <w:rsid w:val="00633DFA"/>
    <w:rsid w:val="0063588D"/>
    <w:rsid w:val="00636AF1"/>
    <w:rsid w:val="0065760F"/>
    <w:rsid w:val="00671716"/>
    <w:rsid w:val="006A631E"/>
    <w:rsid w:val="006B37E0"/>
    <w:rsid w:val="006B4B0A"/>
    <w:rsid w:val="006C1D76"/>
    <w:rsid w:val="006C26E6"/>
    <w:rsid w:val="006C5AD6"/>
    <w:rsid w:val="006D3F79"/>
    <w:rsid w:val="006D434A"/>
    <w:rsid w:val="006D593F"/>
    <w:rsid w:val="006E1BA0"/>
    <w:rsid w:val="006E3B36"/>
    <w:rsid w:val="007009C6"/>
    <w:rsid w:val="007342B7"/>
    <w:rsid w:val="00740C1F"/>
    <w:rsid w:val="0075420E"/>
    <w:rsid w:val="00754B4D"/>
    <w:rsid w:val="0076464A"/>
    <w:rsid w:val="007814CA"/>
    <w:rsid w:val="00781D5F"/>
    <w:rsid w:val="00782482"/>
    <w:rsid w:val="0079699B"/>
    <w:rsid w:val="007A44D4"/>
    <w:rsid w:val="007B0E22"/>
    <w:rsid w:val="007C2F0D"/>
    <w:rsid w:val="007C44DD"/>
    <w:rsid w:val="007C6A26"/>
    <w:rsid w:val="007D45AF"/>
    <w:rsid w:val="007D4833"/>
    <w:rsid w:val="007E514B"/>
    <w:rsid w:val="007E6DEC"/>
    <w:rsid w:val="007E78FD"/>
    <w:rsid w:val="00805DEA"/>
    <w:rsid w:val="00826273"/>
    <w:rsid w:val="008405B9"/>
    <w:rsid w:val="008413F8"/>
    <w:rsid w:val="00846261"/>
    <w:rsid w:val="00846552"/>
    <w:rsid w:val="00851160"/>
    <w:rsid w:val="008523A5"/>
    <w:rsid w:val="00852AB8"/>
    <w:rsid w:val="00880529"/>
    <w:rsid w:val="00884C27"/>
    <w:rsid w:val="00884F10"/>
    <w:rsid w:val="00887286"/>
    <w:rsid w:val="008A3393"/>
    <w:rsid w:val="008A4961"/>
    <w:rsid w:val="008B4CC6"/>
    <w:rsid w:val="008C0DDD"/>
    <w:rsid w:val="008C129E"/>
    <w:rsid w:val="008C1632"/>
    <w:rsid w:val="008C2A7C"/>
    <w:rsid w:val="008C2E12"/>
    <w:rsid w:val="008C330D"/>
    <w:rsid w:val="008C3709"/>
    <w:rsid w:val="008F5E72"/>
    <w:rsid w:val="00900FD5"/>
    <w:rsid w:val="009133AA"/>
    <w:rsid w:val="0092022B"/>
    <w:rsid w:val="0092779A"/>
    <w:rsid w:val="009408E6"/>
    <w:rsid w:val="009536DD"/>
    <w:rsid w:val="00961D00"/>
    <w:rsid w:val="009762B4"/>
    <w:rsid w:val="00984447"/>
    <w:rsid w:val="00985BB7"/>
    <w:rsid w:val="00992552"/>
    <w:rsid w:val="00994248"/>
    <w:rsid w:val="00997B1F"/>
    <w:rsid w:val="009A18DF"/>
    <w:rsid w:val="009B23CC"/>
    <w:rsid w:val="009B303A"/>
    <w:rsid w:val="009C44EF"/>
    <w:rsid w:val="009D0588"/>
    <w:rsid w:val="009D623D"/>
    <w:rsid w:val="00A00D42"/>
    <w:rsid w:val="00A102D3"/>
    <w:rsid w:val="00A42BD2"/>
    <w:rsid w:val="00A4373E"/>
    <w:rsid w:val="00A623DF"/>
    <w:rsid w:val="00A671A1"/>
    <w:rsid w:val="00A705EF"/>
    <w:rsid w:val="00AA0D35"/>
    <w:rsid w:val="00AC3690"/>
    <w:rsid w:val="00AD6850"/>
    <w:rsid w:val="00AF1189"/>
    <w:rsid w:val="00AF75BF"/>
    <w:rsid w:val="00B007FB"/>
    <w:rsid w:val="00B0435D"/>
    <w:rsid w:val="00B1127D"/>
    <w:rsid w:val="00B223E1"/>
    <w:rsid w:val="00B41E9B"/>
    <w:rsid w:val="00B4518B"/>
    <w:rsid w:val="00B608EB"/>
    <w:rsid w:val="00B627A3"/>
    <w:rsid w:val="00B6329C"/>
    <w:rsid w:val="00B737D3"/>
    <w:rsid w:val="00BA04CD"/>
    <w:rsid w:val="00BA264A"/>
    <w:rsid w:val="00BC26C5"/>
    <w:rsid w:val="00BD3205"/>
    <w:rsid w:val="00BE38CB"/>
    <w:rsid w:val="00BF632B"/>
    <w:rsid w:val="00C00495"/>
    <w:rsid w:val="00C0238D"/>
    <w:rsid w:val="00C03DF8"/>
    <w:rsid w:val="00C05D7F"/>
    <w:rsid w:val="00C1117F"/>
    <w:rsid w:val="00C15F8A"/>
    <w:rsid w:val="00C2183D"/>
    <w:rsid w:val="00C335CC"/>
    <w:rsid w:val="00C401DF"/>
    <w:rsid w:val="00C5740B"/>
    <w:rsid w:val="00C61A82"/>
    <w:rsid w:val="00C62C57"/>
    <w:rsid w:val="00C86248"/>
    <w:rsid w:val="00C94149"/>
    <w:rsid w:val="00C97F40"/>
    <w:rsid w:val="00CA40CC"/>
    <w:rsid w:val="00CA6356"/>
    <w:rsid w:val="00CA7BE2"/>
    <w:rsid w:val="00CB5EC0"/>
    <w:rsid w:val="00CD66B6"/>
    <w:rsid w:val="00D00FD9"/>
    <w:rsid w:val="00D10B72"/>
    <w:rsid w:val="00D12CB7"/>
    <w:rsid w:val="00D23382"/>
    <w:rsid w:val="00D2345C"/>
    <w:rsid w:val="00D25277"/>
    <w:rsid w:val="00D258AA"/>
    <w:rsid w:val="00D4623D"/>
    <w:rsid w:val="00D46C3C"/>
    <w:rsid w:val="00D53549"/>
    <w:rsid w:val="00D60962"/>
    <w:rsid w:val="00D653BA"/>
    <w:rsid w:val="00D6582A"/>
    <w:rsid w:val="00D71BA9"/>
    <w:rsid w:val="00D71CC0"/>
    <w:rsid w:val="00D758CF"/>
    <w:rsid w:val="00D75A61"/>
    <w:rsid w:val="00D76656"/>
    <w:rsid w:val="00D92E7C"/>
    <w:rsid w:val="00D95E9B"/>
    <w:rsid w:val="00DA006B"/>
    <w:rsid w:val="00DA23C6"/>
    <w:rsid w:val="00DA7442"/>
    <w:rsid w:val="00DE273F"/>
    <w:rsid w:val="00DE401D"/>
    <w:rsid w:val="00DE576D"/>
    <w:rsid w:val="00DE738F"/>
    <w:rsid w:val="00DF3DFF"/>
    <w:rsid w:val="00E04A74"/>
    <w:rsid w:val="00E074B4"/>
    <w:rsid w:val="00E26532"/>
    <w:rsid w:val="00E31698"/>
    <w:rsid w:val="00E41ED9"/>
    <w:rsid w:val="00E50593"/>
    <w:rsid w:val="00E633FC"/>
    <w:rsid w:val="00E67ADC"/>
    <w:rsid w:val="00E90970"/>
    <w:rsid w:val="00EA02F4"/>
    <w:rsid w:val="00EA133D"/>
    <w:rsid w:val="00EE67C7"/>
    <w:rsid w:val="00EF0BF3"/>
    <w:rsid w:val="00EF1256"/>
    <w:rsid w:val="00EF1A2B"/>
    <w:rsid w:val="00EF3B41"/>
    <w:rsid w:val="00F02A5B"/>
    <w:rsid w:val="00F24297"/>
    <w:rsid w:val="00F33C77"/>
    <w:rsid w:val="00F34A99"/>
    <w:rsid w:val="00F37C13"/>
    <w:rsid w:val="00F51404"/>
    <w:rsid w:val="00F520D1"/>
    <w:rsid w:val="00F62467"/>
    <w:rsid w:val="00F732C2"/>
    <w:rsid w:val="00F93812"/>
    <w:rsid w:val="00FB0047"/>
    <w:rsid w:val="00FB4E0B"/>
    <w:rsid w:val="00FC577B"/>
    <w:rsid w:val="00FD63DF"/>
    <w:rsid w:val="00FE0C09"/>
    <w:rsid w:val="00FF1B9A"/>
    <w:rsid w:val="00FF206F"/>
    <w:rsid w:val="00FF6AA1"/>
    <w:rsid w:val="0B054187"/>
    <w:rsid w:val="100625C1"/>
    <w:rsid w:val="49FF3F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47"/>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984447"/>
    <w:pPr>
      <w:ind w:leftChars="2500" w:left="100"/>
    </w:pPr>
  </w:style>
  <w:style w:type="character" w:customStyle="1" w:styleId="DateChar">
    <w:name w:val="Date Char"/>
    <w:basedOn w:val="DefaultParagraphFont"/>
    <w:link w:val="Date"/>
    <w:uiPriority w:val="99"/>
    <w:semiHidden/>
    <w:locked/>
    <w:rsid w:val="00984447"/>
    <w:rPr>
      <w:kern w:val="2"/>
      <w:sz w:val="22"/>
      <w:szCs w:val="22"/>
    </w:rPr>
  </w:style>
  <w:style w:type="paragraph" w:styleId="Footer">
    <w:name w:val="footer"/>
    <w:basedOn w:val="Normal"/>
    <w:link w:val="FooterChar"/>
    <w:uiPriority w:val="99"/>
    <w:semiHidden/>
    <w:rsid w:val="009844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84447"/>
    <w:rPr>
      <w:sz w:val="18"/>
      <w:szCs w:val="18"/>
    </w:rPr>
  </w:style>
  <w:style w:type="paragraph" w:styleId="Header">
    <w:name w:val="header"/>
    <w:basedOn w:val="Normal"/>
    <w:link w:val="HeaderChar"/>
    <w:uiPriority w:val="99"/>
    <w:semiHidden/>
    <w:rsid w:val="009844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84447"/>
    <w:rPr>
      <w:sz w:val="18"/>
      <w:szCs w:val="18"/>
    </w:rPr>
  </w:style>
  <w:style w:type="paragraph" w:styleId="ListParagraph">
    <w:name w:val="List Paragraph"/>
    <w:basedOn w:val="Normal"/>
    <w:uiPriority w:val="99"/>
    <w:qFormat/>
    <w:rsid w:val="0098444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1212</Words>
  <Characters>6910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无车承运信息系统需求方案</dc:title>
  <dc:subject/>
  <dc:creator>朱建军</dc:creator>
  <cp:keywords/>
  <dc:description/>
  <cp:lastModifiedBy>张德明</cp:lastModifiedBy>
  <cp:revision>2</cp:revision>
  <dcterms:created xsi:type="dcterms:W3CDTF">2019-09-25T06:30:00Z</dcterms:created>
  <dcterms:modified xsi:type="dcterms:W3CDTF">2019-09-25T06:30:00Z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