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pPr>
    </w:p>
    <w:p>
      <w:pPr>
        <w:pStyle w:val="9"/>
        <w:rPr>
          <w:rFonts w:ascii="Times New Roman" w:hAnsi="Times New Roman" w:cs="Times New Roman"/>
        </w:rPr>
      </w:pPr>
    </w:p>
    <w:p>
      <w:pPr>
        <w:widowControl/>
        <w:jc w:val="center"/>
        <w:rPr>
          <w:rFonts w:ascii="Times New Roman" w:hAnsi="Times New Roman" w:eastAsia="宋体" w:cs="Times New Roman"/>
          <w:sz w:val="24"/>
        </w:rPr>
      </w:pPr>
    </w:p>
    <w:p>
      <w:pPr>
        <w:widowControl/>
        <w:jc w:val="center"/>
        <w:rPr>
          <w:rFonts w:ascii="Times New Roman" w:hAnsi="Times New Roman" w:eastAsia="宋体" w:cs="Times New Roman"/>
          <w:sz w:val="24"/>
        </w:rPr>
      </w:pPr>
    </w:p>
    <w:p>
      <w:pPr>
        <w:widowControl/>
        <w:jc w:val="center"/>
        <w:rPr>
          <w:rFonts w:ascii="Times New Roman" w:hAnsi="Times New Roman" w:cs="Times New Roman"/>
          <w:sz w:val="32"/>
          <w:szCs w:val="32"/>
        </w:rPr>
      </w:pPr>
      <w:r>
        <w:rPr>
          <w:rFonts w:hint="eastAsia" w:ascii="Times New Roman" w:hAnsi="Times New Roman" w:eastAsia="宋体" w:cs="Times New Roman"/>
          <w:b/>
          <w:bCs/>
          <w:kern w:val="0"/>
          <w:sz w:val="44"/>
          <w:szCs w:val="44"/>
        </w:rPr>
        <w:t>安徽迅捷物流肥东有限责任公司物业服务外包项目</w:t>
      </w:r>
    </w:p>
    <w:p>
      <w:pPr>
        <w:spacing w:line="540" w:lineRule="exact"/>
        <w:ind w:firstLine="420"/>
        <w:rPr>
          <w:rFonts w:ascii="Times New Roman" w:hAnsi="Times New Roman" w:cs="Times New Roman"/>
          <w:szCs w:val="21"/>
        </w:rPr>
      </w:pPr>
    </w:p>
    <w:p>
      <w:pPr>
        <w:pStyle w:val="9"/>
        <w:rPr>
          <w:rFonts w:ascii="Times New Roman" w:hAnsi="Times New Roman" w:cs="Times New Roman"/>
          <w:szCs w:val="21"/>
        </w:rPr>
      </w:pPr>
    </w:p>
    <w:p>
      <w:pPr>
        <w:pStyle w:val="9"/>
        <w:rPr>
          <w:rFonts w:ascii="Times New Roman" w:hAnsi="Times New Roman" w:cs="Times New Roman"/>
          <w:szCs w:val="21"/>
        </w:rPr>
      </w:pPr>
    </w:p>
    <w:p>
      <w:pPr>
        <w:pStyle w:val="9"/>
        <w:rPr>
          <w:rFonts w:ascii="Times New Roman" w:hAnsi="Times New Roman" w:cs="Times New Roman"/>
          <w:szCs w:val="21"/>
        </w:rPr>
      </w:pPr>
    </w:p>
    <w:p>
      <w:pPr>
        <w:spacing w:line="540" w:lineRule="exact"/>
        <w:ind w:firstLine="420"/>
        <w:rPr>
          <w:rFonts w:ascii="Times New Roman" w:hAnsi="Times New Roman" w:cs="Times New Roman"/>
          <w:szCs w:val="21"/>
        </w:rPr>
      </w:pPr>
    </w:p>
    <w:p>
      <w:pPr>
        <w:jc w:val="center"/>
        <w:rPr>
          <w:rFonts w:ascii="Times New Roman" w:hAnsi="Times New Roman" w:eastAsia="黑体" w:cs="Times New Roman"/>
          <w:sz w:val="72"/>
          <w:szCs w:val="72"/>
        </w:rPr>
      </w:pPr>
      <w:r>
        <w:rPr>
          <w:rFonts w:ascii="Times New Roman" w:hAnsi="Times New Roman" w:eastAsia="黑体" w:cs="Times New Roman"/>
          <w:sz w:val="72"/>
          <w:szCs w:val="72"/>
        </w:rPr>
        <w:t>询  比  文  件</w:t>
      </w: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640"/>
        <w:rPr>
          <w:rFonts w:ascii="Times New Roman" w:hAnsi="Times New Roman" w:eastAsia="黑体" w:cs="Times New Roman"/>
          <w:sz w:val="32"/>
          <w:szCs w:val="32"/>
        </w:rPr>
      </w:pPr>
    </w:p>
    <w:p>
      <w:pPr>
        <w:snapToGrid w:val="0"/>
        <w:ind w:firstLine="1280" w:firstLineChars="400"/>
        <w:rPr>
          <w:rFonts w:ascii="Times New Roman" w:hAnsi="Times New Roman" w:cs="Times New Roman"/>
          <w:sz w:val="32"/>
          <w:szCs w:val="32"/>
        </w:rPr>
      </w:pPr>
      <w:r>
        <w:rPr>
          <w:rFonts w:ascii="Times New Roman" w:hAnsi="Times New Roman" w:eastAsia="黑体" w:cs="Times New Roman"/>
          <w:sz w:val="32"/>
          <w:szCs w:val="32"/>
        </w:rPr>
        <w:t>采 购 人：</w:t>
      </w:r>
      <w:r>
        <w:rPr>
          <w:rFonts w:hint="eastAsia" w:ascii="Times New Roman" w:hAnsi="Times New Roman" w:eastAsia="黑体" w:cs="Times New Roman"/>
          <w:sz w:val="32"/>
          <w:szCs w:val="32"/>
        </w:rPr>
        <w:t>安徽迅捷物流肥东有限责任公司</w:t>
      </w:r>
    </w:p>
    <w:p>
      <w:pPr>
        <w:snapToGrid w:val="0"/>
        <w:ind w:left="1896" w:leftChars="903"/>
        <w:jc w:val="center"/>
        <w:rPr>
          <w:rFonts w:ascii="Times New Roman" w:hAnsi="Times New Roman" w:cs="Times New Roman"/>
          <w:sz w:val="32"/>
          <w:szCs w:val="32"/>
        </w:rPr>
      </w:pPr>
    </w:p>
    <w:p>
      <w:pPr>
        <w:snapToGrid w:val="0"/>
        <w:ind w:firstLine="1280" w:firstLineChars="400"/>
        <w:rPr>
          <w:rFonts w:ascii="Times New Roman" w:hAnsi="Times New Roman" w:cs="Times New Roman"/>
          <w:sz w:val="32"/>
          <w:szCs w:val="32"/>
        </w:rPr>
      </w:pPr>
      <w:r>
        <w:rPr>
          <w:rFonts w:ascii="Times New Roman" w:hAnsi="Times New Roman" w:eastAsia="黑体" w:cs="Times New Roman"/>
          <w:sz w:val="32"/>
          <w:szCs w:val="32"/>
        </w:rPr>
        <w:t>日    期</w:t>
      </w:r>
      <w:r>
        <w:rPr>
          <w:rFonts w:ascii="Times New Roman" w:hAnsi="Times New Roman" w:cs="Times New Roman"/>
          <w:sz w:val="32"/>
          <w:szCs w:val="32"/>
        </w:rPr>
        <w:t>：</w:t>
      </w:r>
      <w:r>
        <w:rPr>
          <w:rFonts w:hint="eastAsia" w:ascii="Times New Roman" w:hAnsi="Times New Roman" w:eastAsia="黑体" w:cs="Times New Roman"/>
          <w:sz w:val="32"/>
          <w:szCs w:val="32"/>
        </w:rPr>
        <w:t>2022</w:t>
      </w:r>
      <w:r>
        <w:rPr>
          <w:rFonts w:ascii="Times New Roman" w:hAnsi="Times New Roman" w:cs="Times New Roman"/>
          <w:sz w:val="32"/>
          <w:szCs w:val="32"/>
        </w:rPr>
        <w:t>年</w:t>
      </w:r>
      <w:r>
        <w:rPr>
          <w:rFonts w:hint="eastAsia" w:ascii="Times New Roman" w:hAnsi="Times New Roman" w:eastAsia="黑体" w:cs="Times New Roman"/>
          <w:sz w:val="32"/>
          <w:szCs w:val="32"/>
        </w:rPr>
        <w:t>7</w:t>
      </w:r>
      <w:r>
        <w:rPr>
          <w:rFonts w:ascii="Times New Roman" w:hAnsi="Times New Roman" w:cs="Times New Roman"/>
          <w:sz w:val="32"/>
          <w:szCs w:val="32"/>
        </w:rPr>
        <w:t>月</w:t>
      </w:r>
    </w:p>
    <w:p>
      <w:pPr>
        <w:ind w:left="1896" w:leftChars="903"/>
        <w:jc w:val="center"/>
        <w:rPr>
          <w:rFonts w:ascii="Times New Roman" w:hAnsi="Times New Roman" w:eastAsia="宋体" w:cs="Times New Roman"/>
          <w:sz w:val="24"/>
        </w:rPr>
        <w:sectPr>
          <w:pgSz w:w="11906" w:h="16838"/>
          <w:pgMar w:top="1440" w:right="1800" w:bottom="1440" w:left="1800" w:header="851" w:footer="992" w:gutter="0"/>
          <w:cols w:space="425" w:num="1"/>
          <w:docGrid w:type="lines" w:linePitch="312" w:charSpace="0"/>
        </w:sectPr>
      </w:pPr>
    </w:p>
    <w:sdt>
      <w:sdtPr>
        <w:id w:val="147482124"/>
        <w:docPartObj>
          <w:docPartGallery w:val="Table of Contents"/>
          <w:docPartUnique/>
        </w:docPartObj>
      </w:sdtPr>
      <w:sdtEndPr>
        <w:rPr>
          <w:rFonts w:hint="eastAsia" w:ascii="仿宋_GB2312" w:hAnsi="仿宋_GB2312" w:eastAsia="仿宋_GB2312" w:cs="仿宋_GB2312"/>
          <w:sz w:val="28"/>
          <w:szCs w:val="28"/>
        </w:rPr>
      </w:sdtEndPr>
      <w:sdtContent>
        <w:p>
          <w:pPr>
            <w:pStyle w:val="18"/>
            <w:widowControl/>
            <w:shd w:val="clear" w:color="auto" w:fill="FFFFFF"/>
            <w:spacing w:beforeAutospacing="0" w:afterAutospacing="0" w:line="560" w:lineRule="exact"/>
            <w:ind w:firstLine="480" w:firstLineChars="200"/>
            <w:jc w:val="center"/>
            <w:rPr>
              <w:rFonts w:ascii="Times New Roman" w:hAnsi="Times New Roman" w:eastAsia="黑体" w:cs="Times New Roman"/>
              <w:sz w:val="32"/>
              <w:szCs w:val="32"/>
            </w:rPr>
          </w:pPr>
          <w:bookmarkStart w:id="0" w:name="_Toc16113_WPSOffice_Type1"/>
          <w:r>
            <w:rPr>
              <w:rFonts w:hint="eastAsia" w:ascii="Times New Roman" w:hAnsi="Times New Roman" w:eastAsia="黑体" w:cs="Times New Roman"/>
              <w:sz w:val="44"/>
              <w:szCs w:val="44"/>
            </w:rPr>
            <w:t>目  录</w:t>
          </w:r>
        </w:p>
        <w:p>
          <w:pPr>
            <w:pStyle w:val="18"/>
            <w:widowControl/>
            <w:shd w:val="clear" w:color="auto" w:fill="FFFFFF"/>
            <w:spacing w:beforeAutospacing="0" w:afterAutospacing="0" w:line="560" w:lineRule="exact"/>
            <w:ind w:firstLine="640" w:firstLineChars="200"/>
            <w:jc w:val="left"/>
            <w:rPr>
              <w:rFonts w:ascii="Times New Roman" w:hAnsi="Times New Roman" w:eastAsia="黑体" w:cs="Times New Roman"/>
              <w:sz w:val="32"/>
              <w:szCs w:val="32"/>
            </w:rPr>
          </w:pPr>
        </w:p>
        <w:p>
          <w:pPr>
            <w:pStyle w:val="18"/>
            <w:widowControl/>
            <w:shd w:val="clear" w:color="auto" w:fill="FFFFFF"/>
            <w:spacing w:beforeAutospacing="0" w:afterAutospacing="0" w:line="560" w:lineRule="exact"/>
            <w:ind w:firstLine="480" w:firstLineChars="200"/>
            <w:jc w:val="left"/>
            <w:rPr>
              <w:rFonts w:ascii="Times New Roman" w:hAnsi="Times New Roman" w:eastAsia="黑体" w:cs="Times New Roman"/>
              <w:sz w:val="32"/>
              <w:szCs w:val="32"/>
            </w:rPr>
          </w:pPr>
          <w:r>
            <w:fldChar w:fldCharType="begin"/>
          </w:r>
          <w:r>
            <w:instrText xml:space="preserve"> HYPERLINK \l "_Toc24919_WPSOffice_Level1" </w:instrText>
          </w:r>
          <w:r>
            <w:fldChar w:fldCharType="separate"/>
          </w:r>
          <w:r>
            <w:rPr>
              <w:rFonts w:hint="eastAsia" w:ascii="Times New Roman" w:hAnsi="Times New Roman" w:eastAsia="黑体" w:cs="Times New Roman"/>
              <w:sz w:val="32"/>
              <w:szCs w:val="32"/>
            </w:rPr>
            <w:t>第一章 采购公告</w:t>
          </w:r>
          <w:r>
            <w:rPr>
              <w:rFonts w:hint="eastAsia" w:ascii="Times New Roman" w:hAnsi="Times New Roman" w:eastAsia="黑体" w:cs="Times New Roman"/>
              <w:sz w:val="32"/>
              <w:szCs w:val="32"/>
            </w:rPr>
            <w:tab/>
          </w:r>
          <w:bookmarkStart w:id="1" w:name="_Toc24919_WPSOffice_Level1Page"/>
          <w:r>
            <w:rPr>
              <w:rFonts w:hint="eastAsia" w:ascii="Times New Roman" w:hAnsi="Times New Roman" w:eastAsia="黑体" w:cs="Times New Roman"/>
              <w:sz w:val="32"/>
              <w:szCs w:val="32"/>
            </w:rPr>
            <w:t xml:space="preserve">      </w:t>
          </w:r>
          <w:bookmarkEnd w:id="1"/>
          <w:r>
            <w:rPr>
              <w:rFonts w:hint="eastAsia" w:ascii="Times New Roman" w:hAnsi="Times New Roman" w:eastAsia="黑体" w:cs="Times New Roman"/>
              <w:sz w:val="32"/>
              <w:szCs w:val="32"/>
            </w:rPr>
            <w:fldChar w:fldCharType="end"/>
          </w:r>
        </w:p>
        <w:p>
          <w:pPr>
            <w:pStyle w:val="18"/>
            <w:widowControl/>
            <w:shd w:val="clear" w:color="auto" w:fill="FFFFFF"/>
            <w:spacing w:beforeAutospacing="0" w:afterAutospacing="0" w:line="560" w:lineRule="exact"/>
            <w:ind w:firstLine="480" w:firstLineChars="200"/>
            <w:jc w:val="left"/>
            <w:rPr>
              <w:rFonts w:ascii="Times New Roman" w:hAnsi="Times New Roman" w:eastAsia="黑体" w:cs="Times New Roman"/>
              <w:sz w:val="32"/>
              <w:szCs w:val="32"/>
            </w:rPr>
          </w:pPr>
          <w:r>
            <w:fldChar w:fldCharType="begin"/>
          </w:r>
          <w:r>
            <w:instrText xml:space="preserve"> HYPERLINK \l "_Toc12694_WPSOffice_Level1" </w:instrText>
          </w:r>
          <w:r>
            <w:fldChar w:fldCharType="separate"/>
          </w:r>
          <w:r>
            <w:rPr>
              <w:rFonts w:hint="eastAsia" w:ascii="Times New Roman" w:hAnsi="Times New Roman" w:eastAsia="黑体" w:cs="Times New Roman"/>
              <w:sz w:val="32"/>
              <w:szCs w:val="32"/>
            </w:rPr>
            <w:t>第二章 供应商须知</w:t>
          </w:r>
          <w:r>
            <w:rPr>
              <w:rFonts w:hint="eastAsia" w:ascii="Times New Roman" w:hAnsi="Times New Roman" w:eastAsia="黑体" w:cs="Times New Roman"/>
              <w:sz w:val="32"/>
              <w:szCs w:val="32"/>
            </w:rPr>
            <w:tab/>
          </w:r>
          <w:bookmarkStart w:id="2" w:name="_Toc12694_WPSOffice_Level1Page"/>
          <w:r>
            <w:rPr>
              <w:rFonts w:hint="eastAsia" w:ascii="Times New Roman" w:hAnsi="Times New Roman" w:eastAsia="黑体" w:cs="Times New Roman"/>
              <w:sz w:val="32"/>
              <w:szCs w:val="32"/>
            </w:rPr>
            <w:t xml:space="preserve">   </w:t>
          </w:r>
          <w:bookmarkEnd w:id="2"/>
          <w:r>
            <w:rPr>
              <w:rFonts w:hint="eastAsia" w:ascii="Times New Roman" w:hAnsi="Times New Roman" w:eastAsia="黑体" w:cs="Times New Roman"/>
              <w:sz w:val="32"/>
              <w:szCs w:val="32"/>
            </w:rPr>
            <w:fldChar w:fldCharType="end"/>
          </w:r>
        </w:p>
        <w:p>
          <w:pPr>
            <w:pStyle w:val="18"/>
            <w:widowControl/>
            <w:shd w:val="clear" w:color="auto" w:fill="FFFFFF"/>
            <w:spacing w:beforeAutospacing="0" w:afterAutospacing="0" w:line="560" w:lineRule="exact"/>
            <w:ind w:firstLine="480" w:firstLineChars="200"/>
            <w:jc w:val="left"/>
            <w:rPr>
              <w:rFonts w:ascii="Times New Roman" w:hAnsi="Times New Roman" w:eastAsia="黑体" w:cs="Times New Roman"/>
              <w:sz w:val="32"/>
              <w:szCs w:val="32"/>
            </w:rPr>
          </w:pPr>
          <w:r>
            <w:fldChar w:fldCharType="begin"/>
          </w:r>
          <w:r>
            <w:instrText xml:space="preserve"> HYPERLINK \l "_Toc25593_WPSOffice_Level1" </w:instrText>
          </w:r>
          <w:r>
            <w:fldChar w:fldCharType="separate"/>
          </w:r>
          <w:r>
            <w:rPr>
              <w:rFonts w:hint="eastAsia" w:ascii="Times New Roman" w:hAnsi="Times New Roman" w:eastAsia="黑体" w:cs="Times New Roman"/>
              <w:sz w:val="32"/>
              <w:szCs w:val="32"/>
            </w:rPr>
            <w:t>第三章 评审办法</w:t>
          </w:r>
          <w:r>
            <w:rPr>
              <w:rFonts w:hint="eastAsia" w:ascii="Times New Roman" w:hAnsi="Times New Roman" w:eastAsia="黑体" w:cs="Times New Roman"/>
              <w:sz w:val="32"/>
              <w:szCs w:val="32"/>
            </w:rPr>
            <w:tab/>
          </w:r>
          <w:bookmarkStart w:id="3" w:name="_Toc25593_WPSOffice_Level1Page"/>
          <w:r>
            <w:rPr>
              <w:rFonts w:hint="eastAsia" w:ascii="Times New Roman" w:hAnsi="Times New Roman" w:eastAsia="黑体" w:cs="Times New Roman"/>
              <w:sz w:val="32"/>
              <w:szCs w:val="32"/>
            </w:rPr>
            <w:t xml:space="preserve">      </w:t>
          </w:r>
          <w:bookmarkEnd w:id="3"/>
          <w:r>
            <w:rPr>
              <w:rFonts w:hint="eastAsia" w:ascii="Times New Roman" w:hAnsi="Times New Roman" w:eastAsia="黑体" w:cs="Times New Roman"/>
              <w:sz w:val="32"/>
              <w:szCs w:val="32"/>
            </w:rPr>
            <w:fldChar w:fldCharType="end"/>
          </w:r>
        </w:p>
        <w:p>
          <w:pPr>
            <w:pStyle w:val="18"/>
            <w:widowControl/>
            <w:shd w:val="clear" w:color="auto" w:fill="FFFFFF"/>
            <w:spacing w:beforeAutospacing="0" w:afterAutospacing="0" w:line="560" w:lineRule="exact"/>
            <w:ind w:firstLine="480" w:firstLineChars="200"/>
            <w:jc w:val="left"/>
            <w:rPr>
              <w:rFonts w:ascii="Times New Roman" w:hAnsi="Times New Roman" w:eastAsia="黑体" w:cs="Times New Roman"/>
              <w:sz w:val="32"/>
              <w:szCs w:val="32"/>
            </w:rPr>
          </w:pPr>
          <w:r>
            <w:fldChar w:fldCharType="begin"/>
          </w:r>
          <w:r>
            <w:instrText xml:space="preserve"> HYPERLINK \l "_Toc17480_WPSOffice_Level1" </w:instrText>
          </w:r>
          <w:r>
            <w:fldChar w:fldCharType="separate"/>
          </w:r>
          <w:r>
            <w:rPr>
              <w:rFonts w:hint="eastAsia" w:ascii="Times New Roman" w:hAnsi="Times New Roman" w:eastAsia="黑体" w:cs="Times New Roman"/>
              <w:sz w:val="32"/>
              <w:szCs w:val="32"/>
            </w:rPr>
            <w:t>第四章 合同内容</w:t>
          </w:r>
          <w:r>
            <w:rPr>
              <w:rFonts w:hint="eastAsia" w:ascii="Times New Roman" w:hAnsi="Times New Roman" w:eastAsia="黑体" w:cs="Times New Roman"/>
              <w:sz w:val="32"/>
              <w:szCs w:val="32"/>
            </w:rPr>
            <w:tab/>
          </w:r>
          <w:bookmarkStart w:id="4" w:name="_Toc17480_WPSOffice_Level1Page"/>
          <w:r>
            <w:rPr>
              <w:rFonts w:hint="eastAsia" w:ascii="Times New Roman" w:hAnsi="Times New Roman" w:eastAsia="黑体" w:cs="Times New Roman"/>
              <w:sz w:val="32"/>
              <w:szCs w:val="32"/>
            </w:rPr>
            <w:t xml:space="preserve">      </w:t>
          </w:r>
          <w:bookmarkEnd w:id="4"/>
          <w:r>
            <w:rPr>
              <w:rFonts w:hint="eastAsia" w:ascii="Times New Roman" w:hAnsi="Times New Roman" w:eastAsia="黑体" w:cs="Times New Roman"/>
              <w:sz w:val="32"/>
              <w:szCs w:val="32"/>
            </w:rPr>
            <w:fldChar w:fldCharType="end"/>
          </w:r>
        </w:p>
        <w:p>
          <w:pPr>
            <w:pStyle w:val="18"/>
            <w:widowControl/>
            <w:shd w:val="clear" w:color="auto" w:fill="FFFFFF"/>
            <w:spacing w:beforeAutospacing="0" w:afterAutospacing="0" w:line="560" w:lineRule="exact"/>
            <w:ind w:firstLine="480" w:firstLineChars="200"/>
            <w:jc w:val="left"/>
            <w:rPr>
              <w:rFonts w:ascii="Times New Roman" w:hAnsi="Times New Roman" w:eastAsia="黑体" w:cs="Times New Roman"/>
              <w:sz w:val="32"/>
              <w:szCs w:val="32"/>
            </w:rPr>
          </w:pPr>
          <w:r>
            <w:fldChar w:fldCharType="begin"/>
          </w:r>
          <w:r>
            <w:instrText xml:space="preserve"> HYPERLINK \l "_Toc14756_WPSOffice_Level1" </w:instrText>
          </w:r>
          <w:r>
            <w:fldChar w:fldCharType="separate"/>
          </w:r>
          <w:r>
            <w:rPr>
              <w:rFonts w:hint="eastAsia" w:ascii="Times New Roman" w:hAnsi="Times New Roman" w:eastAsia="黑体" w:cs="Times New Roman"/>
              <w:sz w:val="32"/>
              <w:szCs w:val="32"/>
            </w:rPr>
            <w:t>第五章 采购需求及清单</w:t>
          </w:r>
          <w:r>
            <w:rPr>
              <w:rFonts w:hint="eastAsia" w:ascii="Times New Roman" w:hAnsi="Times New Roman" w:eastAsia="黑体" w:cs="Times New Roman"/>
              <w:sz w:val="32"/>
              <w:szCs w:val="32"/>
            </w:rPr>
            <w:tab/>
          </w:r>
          <w:bookmarkStart w:id="5" w:name="_Toc14756_WPSOffice_Level1Page"/>
          <w:r>
            <w:rPr>
              <w:rFonts w:hint="eastAsia" w:ascii="Times New Roman" w:hAnsi="Times New Roman" w:eastAsia="黑体" w:cs="Times New Roman"/>
              <w:sz w:val="32"/>
              <w:szCs w:val="32"/>
            </w:rPr>
            <w:t xml:space="preserve"> </w:t>
          </w:r>
          <w:bookmarkEnd w:id="5"/>
          <w:r>
            <w:rPr>
              <w:rFonts w:hint="eastAsia" w:ascii="Times New Roman" w:hAnsi="Times New Roman" w:eastAsia="黑体" w:cs="Times New Roman"/>
              <w:sz w:val="32"/>
              <w:szCs w:val="32"/>
            </w:rPr>
            <w:fldChar w:fldCharType="end"/>
          </w:r>
        </w:p>
        <w:p>
          <w:pPr>
            <w:pStyle w:val="18"/>
            <w:widowControl/>
            <w:shd w:val="clear" w:color="auto" w:fill="FFFFFF"/>
            <w:spacing w:beforeAutospacing="0" w:afterAutospacing="0" w:line="560" w:lineRule="exact"/>
            <w:ind w:firstLine="480" w:firstLineChars="200"/>
            <w:jc w:val="left"/>
            <w:rPr>
              <w:rFonts w:ascii="Times New Roman" w:hAnsi="Times New Roman" w:eastAsia="黑体" w:cs="Times New Roman"/>
              <w:sz w:val="32"/>
              <w:szCs w:val="32"/>
            </w:rPr>
          </w:pPr>
          <w:r>
            <w:fldChar w:fldCharType="begin"/>
          </w:r>
          <w:r>
            <w:instrText xml:space="preserve"> HYPERLINK \l "_Toc24739_WPSOffice_Level1" </w:instrText>
          </w:r>
          <w:r>
            <w:fldChar w:fldCharType="separate"/>
          </w:r>
          <w:r>
            <w:rPr>
              <w:rFonts w:hint="eastAsia" w:ascii="Times New Roman" w:hAnsi="Times New Roman" w:eastAsia="黑体" w:cs="Times New Roman"/>
              <w:sz w:val="32"/>
              <w:szCs w:val="32"/>
            </w:rPr>
            <w:t>第六章 响应文件格式</w:t>
          </w:r>
          <w:r>
            <w:rPr>
              <w:rFonts w:hint="eastAsia" w:ascii="Times New Roman" w:hAnsi="Times New Roman" w:eastAsia="黑体" w:cs="Times New Roman"/>
              <w:sz w:val="32"/>
              <w:szCs w:val="32"/>
            </w:rPr>
            <w:tab/>
          </w:r>
          <w:bookmarkStart w:id="6" w:name="_Toc24739_WPSOffice_Level1Page"/>
          <w:r>
            <w:rPr>
              <w:rFonts w:hint="eastAsia" w:ascii="Times New Roman" w:hAnsi="Times New Roman" w:eastAsia="黑体" w:cs="Times New Roman"/>
              <w:sz w:val="32"/>
              <w:szCs w:val="32"/>
            </w:rPr>
            <w:t xml:space="preserve">   </w:t>
          </w:r>
          <w:bookmarkEnd w:id="6"/>
          <w:r>
            <w:rPr>
              <w:rFonts w:hint="eastAsia" w:ascii="Times New Roman" w:hAnsi="Times New Roman" w:eastAsia="黑体" w:cs="Times New Roman"/>
              <w:sz w:val="32"/>
              <w:szCs w:val="32"/>
            </w:rPr>
            <w:fldChar w:fldCharType="end"/>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sdtContent>
    </w:sdt>
    <w:bookmarkEnd w:id="0"/>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pStyle w:val="20"/>
        <w:spacing w:line="360" w:lineRule="auto"/>
        <w:rPr>
          <w:rFonts w:ascii="宋体" w:hAnsi="宋体" w:cs="Times New Roman"/>
        </w:rPr>
      </w:pPr>
      <w:bookmarkStart w:id="7" w:name="_Toc24919_WPSOffice_Level1"/>
      <w:r>
        <w:rPr>
          <w:rFonts w:hint="eastAsia" w:ascii="宋体" w:hAnsi="宋体" w:cs="Times New Roman"/>
        </w:rPr>
        <w:t>第一章  采购公告</w:t>
      </w:r>
      <w:bookmarkEnd w:id="7"/>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8" w:name="_Toc525632585"/>
      <w:bookmarkStart w:id="9" w:name="_Toc6496_WPSOffice_Level2"/>
      <w:bookmarkStart w:id="10" w:name="_Toc4489_WPSOffice_Level2"/>
      <w:bookmarkStart w:id="11" w:name="_Toc13871"/>
      <w:bookmarkStart w:id="12" w:name="_Toc12765"/>
      <w:bookmarkStart w:id="13" w:name="_Toc24354_WPSOffice_Level2"/>
      <w:bookmarkStart w:id="14" w:name="_Toc10395_WPSOffice_Level2"/>
      <w:r>
        <w:rPr>
          <w:rFonts w:hint="eastAsia" w:ascii="仿宋_GB2312" w:hAnsi="仿宋_GB2312" w:eastAsia="仿宋_GB2312" w:cs="仿宋_GB2312"/>
          <w:sz w:val="28"/>
          <w:szCs w:val="28"/>
        </w:rPr>
        <w:t>1.项目简介</w:t>
      </w:r>
      <w:bookmarkEnd w:id="8"/>
      <w:bookmarkEnd w:id="9"/>
      <w:bookmarkEnd w:id="10"/>
      <w:bookmarkEnd w:id="11"/>
      <w:bookmarkEnd w:id="12"/>
      <w:bookmarkEnd w:id="13"/>
      <w:bookmarkEnd w:id="14"/>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1.1 项目名称：安徽迅捷物流肥东有限责任公司物业服务外包项目</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1.2 采 购 人：安徽迅捷物流肥东有限责任公司</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1.3 项目概况：安徽迅捷物流肥东有限责任公司园区占地181.7亩，现建筑总面积64207㎡，为规范我公司物业管理，提高园区整体服务水平，根据日常工作安排，计划对我公司物业（保安、保洁）服务进行外包。</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15" w:name="_Toc18367_WPSOffice_Level2"/>
      <w:bookmarkStart w:id="16" w:name="_Toc17858_WPSOffice_Level2"/>
      <w:bookmarkStart w:id="17" w:name="_Toc18453"/>
      <w:bookmarkStart w:id="18" w:name="_Toc23266_WPSOffice_Level2"/>
      <w:bookmarkStart w:id="19" w:name="_Toc525632586"/>
      <w:bookmarkStart w:id="20" w:name="_Toc8128_WPSOffice_Level2"/>
      <w:bookmarkStart w:id="21" w:name="_Toc10274"/>
      <w:r>
        <w:rPr>
          <w:rFonts w:hint="eastAsia" w:ascii="仿宋_GB2312" w:hAnsi="仿宋_GB2312" w:eastAsia="仿宋_GB2312" w:cs="仿宋_GB2312"/>
          <w:sz w:val="28"/>
          <w:szCs w:val="28"/>
        </w:rPr>
        <w:t>2.采购说明</w:t>
      </w:r>
      <w:bookmarkEnd w:id="15"/>
      <w:bookmarkEnd w:id="16"/>
      <w:bookmarkEnd w:id="17"/>
      <w:bookmarkEnd w:id="18"/>
      <w:bookmarkEnd w:id="19"/>
      <w:bookmarkEnd w:id="20"/>
      <w:bookmarkEnd w:id="21"/>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22" w:name="_Toc4489_WPSOffice_Level3"/>
      <w:r>
        <w:rPr>
          <w:rFonts w:hint="eastAsia" w:ascii="仿宋_GB2312" w:hAnsi="仿宋_GB2312" w:eastAsia="仿宋_GB2312" w:cs="仿宋_GB2312"/>
          <w:sz w:val="28"/>
          <w:szCs w:val="28"/>
        </w:rPr>
        <w:t>2.1 采购方式：</w:t>
      </w:r>
      <w:bookmarkEnd w:id="22"/>
      <w:r>
        <w:rPr>
          <w:rFonts w:hint="eastAsia" w:ascii="仿宋_GB2312" w:hAnsi="仿宋_GB2312" w:eastAsia="仿宋_GB2312" w:cs="仿宋_GB2312"/>
          <w:sz w:val="28"/>
          <w:szCs w:val="28"/>
        </w:rPr>
        <w:t>公开询比采购</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23" w:name="_Toc23266_WPSOffice_Level3"/>
      <w:r>
        <w:rPr>
          <w:rFonts w:hint="eastAsia" w:ascii="仿宋_GB2312" w:hAnsi="仿宋_GB2312" w:eastAsia="仿宋_GB2312" w:cs="仿宋_GB2312"/>
          <w:sz w:val="28"/>
          <w:szCs w:val="28"/>
        </w:rPr>
        <w:t>2.2 资金来源及比例：</w:t>
      </w:r>
      <w:bookmarkEnd w:id="23"/>
      <w:bookmarkStart w:id="24" w:name="_Toc22379_WPSOffice_Level3"/>
      <w:r>
        <w:rPr>
          <w:rFonts w:hint="eastAsia" w:ascii="仿宋_GB2312" w:hAnsi="仿宋_GB2312" w:eastAsia="仿宋_GB2312" w:cs="仿宋_GB2312"/>
          <w:sz w:val="28"/>
          <w:szCs w:val="28"/>
        </w:rPr>
        <w:t>企业自筹</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2.3 采购范围：迅捷物流肥东公司园区物业服务，包括保安、保洁等。</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2.4 合同包划分：</w:t>
      </w:r>
      <w:r>
        <w:rPr>
          <w:rFonts w:hint="eastAsia" w:ascii="仿宋_GB2312" w:hAnsi="仿宋_GB2312" w:eastAsia="仿宋_GB2312" w:cs="仿宋_GB2312"/>
          <w:sz w:val="28"/>
          <w:szCs w:val="28"/>
          <w:u w:val="single"/>
        </w:rPr>
        <w:t xml:space="preserve"> 1  </w:t>
      </w:r>
      <w:r>
        <w:rPr>
          <w:rFonts w:hint="eastAsia" w:ascii="仿宋_GB2312" w:hAnsi="仿宋_GB2312" w:eastAsia="仿宋_GB2312" w:cs="仿宋_GB2312"/>
          <w:sz w:val="28"/>
          <w:szCs w:val="28"/>
        </w:rPr>
        <w:t xml:space="preserve">            </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2.5 最高限价：</w:t>
      </w:r>
      <w:bookmarkEnd w:id="24"/>
      <w:r>
        <w:rPr>
          <w:rFonts w:hint="eastAsia" w:ascii="仿宋_GB2312" w:hAnsi="仿宋_GB2312" w:eastAsia="仿宋_GB2312" w:cs="仿宋_GB2312"/>
          <w:sz w:val="28"/>
          <w:szCs w:val="28"/>
          <w:u w:val="single"/>
        </w:rPr>
        <w:t xml:space="preserve"> 49</w:t>
      </w:r>
      <w:r>
        <w:rPr>
          <w:rFonts w:hint="eastAsia" w:ascii="仿宋_GB2312" w:hAnsi="仿宋_GB2312" w:eastAsia="仿宋_GB2312" w:cs="仿宋_GB2312"/>
          <w:sz w:val="28"/>
          <w:szCs w:val="28"/>
        </w:rPr>
        <w:t>万元,包括保安队长1人、保安人员5人、保洁人员5人（含兼职绿化维护,1人专职食堂帮厨）。</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2.6 计划服务期：</w:t>
      </w:r>
      <w:r>
        <w:rPr>
          <w:rFonts w:hint="eastAsia" w:ascii="仿宋_GB2312" w:hAnsi="仿宋_GB2312" w:eastAsia="仿宋_GB2312" w:cs="仿宋_GB2312"/>
          <w:sz w:val="28"/>
          <w:szCs w:val="28"/>
          <w:u w:val="single"/>
        </w:rPr>
        <w:t>2022年8月1日---2023年7月 31日</w:t>
      </w:r>
      <w:r>
        <w:rPr>
          <w:rFonts w:hint="eastAsia" w:ascii="仿宋_GB2312" w:hAnsi="仿宋_GB2312" w:eastAsia="仿宋_GB2312" w:cs="仿宋_GB2312"/>
          <w:sz w:val="28"/>
          <w:szCs w:val="28"/>
        </w:rPr>
        <w:t xml:space="preserve">  ；服务期</w:t>
      </w:r>
      <w:r>
        <w:rPr>
          <w:rFonts w:hint="eastAsia" w:ascii="仿宋_GB2312" w:hAnsi="仿宋_GB2312" w:eastAsia="仿宋_GB2312" w:cs="仿宋_GB2312"/>
          <w:sz w:val="28"/>
          <w:szCs w:val="28"/>
          <w:u w:val="single"/>
        </w:rPr>
        <w:t xml:space="preserve">1年 </w:t>
      </w:r>
      <w:r>
        <w:rPr>
          <w:rFonts w:hint="eastAsia" w:ascii="仿宋_GB2312" w:hAnsi="仿宋_GB2312" w:eastAsia="仿宋_GB2312" w:cs="仿宋_GB2312"/>
          <w:sz w:val="28"/>
          <w:szCs w:val="28"/>
        </w:rPr>
        <w:t>。</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25" w:name="_Toc6388"/>
      <w:bookmarkStart w:id="26" w:name="_Toc22379_WPSOffice_Level2"/>
      <w:bookmarkStart w:id="27" w:name="_Toc31673_WPSOffice_Level2"/>
      <w:bookmarkStart w:id="28" w:name="_Toc29516_WPSOffice_Level2"/>
      <w:bookmarkStart w:id="29" w:name="_Toc3714"/>
      <w:bookmarkStart w:id="30" w:name="_Toc1622_WPSOffice_Level2"/>
      <w:bookmarkStart w:id="31" w:name="_Toc525632587"/>
      <w:r>
        <w:rPr>
          <w:rFonts w:hint="eastAsia" w:ascii="仿宋_GB2312" w:hAnsi="仿宋_GB2312" w:eastAsia="仿宋_GB2312" w:cs="仿宋_GB2312"/>
          <w:sz w:val="28"/>
          <w:szCs w:val="28"/>
        </w:rPr>
        <w:t>3.供应商资格条件</w:t>
      </w:r>
      <w:bookmarkEnd w:id="25"/>
      <w:bookmarkEnd w:id="26"/>
      <w:bookmarkEnd w:id="27"/>
      <w:bookmarkEnd w:id="28"/>
      <w:bookmarkEnd w:id="29"/>
      <w:bookmarkEnd w:id="30"/>
      <w:bookmarkEnd w:id="31"/>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3.1 本次采购要求供应商须同时具备：</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（1）资质最低要求：</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①具备独立法人资格，持有有效的营业执照；经营范围需包含物业劳务外包等相关服务（包括但不限于：物业管理、保洁服务、劳务派遣、保安相关服务等）。</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②具有保安服务许可证和劳务派遣证。</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（2）业绩最低要求：</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近2年（指</w:t>
      </w:r>
      <w:r>
        <w:rPr>
          <w:rFonts w:hint="eastAsia" w:ascii="仿宋_GB2312" w:hAnsi="仿宋_GB2312" w:eastAsia="仿宋_GB2312" w:cs="仿宋_GB2312"/>
          <w:sz w:val="28"/>
          <w:szCs w:val="28"/>
          <w:u w:val="single"/>
        </w:rPr>
        <w:t>2020年1月1日</w:t>
      </w:r>
      <w:r>
        <w:rPr>
          <w:rFonts w:hint="eastAsia" w:ascii="仿宋_GB2312" w:hAnsi="仿宋_GB2312" w:eastAsia="仿宋_GB2312" w:cs="仿宋_GB2312"/>
          <w:sz w:val="28"/>
          <w:szCs w:val="28"/>
        </w:rPr>
        <w:t>至响应文件递交截止日期，以合同签订时间为准）具备合肥市当地服务能力，合肥市相关园区、厂区、小区等物业服务外包项目不低于两家，且单项合同服务费用不低于40万元/年（需同时含保安、保洁服务）。</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对供应商其他人员的要求：如供应方代表不是法人代表，须持有《法人授权委托书》。</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（3）信誉要求最低要求：</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①未被责令停业，暂扣或吊销执照，或吊销资质证书；</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②未进入清算程序，或被宣告破产，或其他丧失履约能力的情形；</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③在国家企业信用信息公示系统（http://www.gsxt.gov.cn）中未被列入严重违法失信企业名单；</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④在“信用中国”网站（http://www.creditchina.gov.cn）中未被列入失信被执行人名单；</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⑤在近三年内（自响应文件递交截止之日向前追溯3年）供应商或其法定代表人、拟委任的项目负责人未有行贿犯罪行为。</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⑥其他要求：</w:t>
      </w:r>
      <w:r>
        <w:rPr>
          <w:rFonts w:hint="eastAsia" w:ascii="仿宋_GB2312" w:hAnsi="仿宋_GB2312" w:eastAsia="仿宋_GB2312" w:cs="仿宋_GB2312"/>
          <w:sz w:val="28"/>
          <w:szCs w:val="28"/>
          <w:u w:val="single"/>
        </w:rPr>
        <w:t xml:space="preserve">   /   </w:t>
      </w:r>
      <w:r>
        <w:rPr>
          <w:rFonts w:hint="eastAsia" w:ascii="仿宋_GB2312" w:hAnsi="仿宋_GB2312" w:eastAsia="仿宋_GB2312" w:cs="仿宋_GB2312"/>
          <w:sz w:val="28"/>
          <w:szCs w:val="28"/>
        </w:rPr>
        <w:t xml:space="preserve"> 。</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3.2 联合体：本次采购不接受联合体报价。</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3.3 单位负责人为同一人或者存在控股、管理关系的不同单位，不得同时参加同一合同包报价，否则相关响应文件均无效。</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32" w:name="_Toc4109_WPSOffice_Level2"/>
      <w:bookmarkStart w:id="33" w:name="_Toc1994"/>
      <w:bookmarkStart w:id="34" w:name="_Toc2996_WPSOffice_Level2"/>
      <w:bookmarkStart w:id="35" w:name="_Toc525632588"/>
      <w:bookmarkStart w:id="36" w:name="_Toc29452_WPSOffice_Level2"/>
      <w:bookmarkStart w:id="37" w:name="_Toc4751"/>
      <w:bookmarkStart w:id="38" w:name="_Toc25666_WPSOffice_Level2"/>
      <w:r>
        <w:rPr>
          <w:rFonts w:hint="eastAsia" w:ascii="仿宋_GB2312" w:hAnsi="仿宋_GB2312" w:eastAsia="仿宋_GB2312" w:cs="仿宋_GB2312"/>
          <w:sz w:val="28"/>
          <w:szCs w:val="28"/>
        </w:rPr>
        <w:t>4.询比文件的获取</w:t>
      </w:r>
      <w:bookmarkEnd w:id="32"/>
      <w:bookmarkEnd w:id="33"/>
      <w:bookmarkEnd w:id="34"/>
      <w:bookmarkEnd w:id="35"/>
      <w:bookmarkEnd w:id="36"/>
      <w:bookmarkEnd w:id="37"/>
      <w:bookmarkEnd w:id="38"/>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供应商应在递交响应文件的截止时间前登录安徽迅捷物流有限责任公司网站（网址：https://www.ahxj.cn），自行下载询比文件及相关资料，或到安徽迅捷物流肥东有限责任公司安全物管部领取，未按规定在安徽迅捷物流有限责任公司网站（网址：https://www.ahxj.cn）下载询比文件的或未到现场领取的，后续将不予接受其响应文件。</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39" w:name="_Toc726"/>
      <w:bookmarkStart w:id="40" w:name="_Toc525632589"/>
      <w:r>
        <w:rPr>
          <w:rFonts w:hint="eastAsia" w:ascii="仿宋_GB2312" w:hAnsi="仿宋_GB2312" w:eastAsia="仿宋_GB2312" w:cs="仿宋_GB2312"/>
          <w:sz w:val="28"/>
          <w:szCs w:val="28"/>
        </w:rPr>
        <w:t>5.响应文件的递交</w:t>
      </w:r>
      <w:bookmarkEnd w:id="39"/>
      <w:bookmarkEnd w:id="40"/>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highlight w:val="yellow"/>
        </w:rPr>
      </w:pPr>
      <w:r>
        <w:rPr>
          <w:rFonts w:hint="eastAsia" w:ascii="仿宋_GB2312" w:hAnsi="仿宋_GB2312" w:eastAsia="仿宋_GB2312" w:cs="仿宋_GB2312"/>
          <w:sz w:val="28"/>
          <w:szCs w:val="28"/>
        </w:rPr>
        <w:t>响应文件递交的截止时间为</w:t>
      </w:r>
      <w:r>
        <w:rPr>
          <w:rFonts w:hint="eastAsia" w:ascii="仿宋_GB2312" w:hAnsi="仿宋_GB2312" w:eastAsia="仿宋_GB2312" w:cs="仿宋_GB2312"/>
          <w:sz w:val="28"/>
          <w:szCs w:val="28"/>
          <w:u w:val="single"/>
        </w:rPr>
        <w:t xml:space="preserve"> 2022 年 7月 26日 14时 00 分</w:t>
      </w:r>
      <w:r>
        <w:rPr>
          <w:rFonts w:hint="eastAsia" w:ascii="仿宋_GB2312" w:hAnsi="仿宋_GB2312" w:eastAsia="仿宋_GB2312" w:cs="仿宋_GB2312"/>
          <w:sz w:val="28"/>
          <w:szCs w:val="28"/>
        </w:rPr>
        <w:t>，供应商的法定代表人或其授权代理人应于</w:t>
      </w:r>
      <w:r>
        <w:rPr>
          <w:rFonts w:hint="eastAsia" w:ascii="仿宋_GB2312" w:hAnsi="仿宋_GB2312" w:eastAsia="仿宋_GB2312" w:cs="仿宋_GB2312"/>
          <w:sz w:val="28"/>
          <w:szCs w:val="28"/>
          <w:u w:val="single"/>
        </w:rPr>
        <w:t xml:space="preserve"> 2022年 7月19日 14 时 00分</w:t>
      </w:r>
      <w:r>
        <w:rPr>
          <w:rFonts w:hint="eastAsia" w:ascii="仿宋_GB2312" w:hAnsi="仿宋_GB2312" w:eastAsia="仿宋_GB2312" w:cs="仿宋_GB2312"/>
          <w:sz w:val="28"/>
          <w:szCs w:val="28"/>
        </w:rPr>
        <w:t>至递交的截止时间前将响应文件递交至</w:t>
      </w:r>
      <w:r>
        <w:rPr>
          <w:rFonts w:hint="eastAsia" w:ascii="仿宋_GB2312" w:hAnsi="仿宋_GB2312" w:eastAsia="仿宋_GB2312" w:cs="仿宋_GB2312"/>
          <w:sz w:val="28"/>
          <w:szCs w:val="28"/>
          <w:u w:val="single"/>
        </w:rPr>
        <w:t>安徽迅捷物流肥东有限责任公司安全物管部</w:t>
      </w:r>
      <w:r>
        <w:rPr>
          <w:rFonts w:hint="eastAsia" w:ascii="仿宋_GB2312" w:hAnsi="仿宋_GB2312" w:eastAsia="仿宋_GB2312" w:cs="仿宋_GB2312"/>
          <w:sz w:val="28"/>
          <w:szCs w:val="28"/>
        </w:rPr>
        <w:t>。</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41" w:name="_Toc22719"/>
      <w:bookmarkStart w:id="42" w:name="_Toc525632591"/>
      <w:r>
        <w:rPr>
          <w:rFonts w:hint="eastAsia" w:ascii="仿宋_GB2312" w:hAnsi="仿宋_GB2312" w:eastAsia="仿宋_GB2312" w:cs="仿宋_GB2312"/>
          <w:sz w:val="28"/>
          <w:szCs w:val="28"/>
        </w:rPr>
        <w:t>6.响应文件启封</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响应文件的递交截止时间到后，采购人将于</w:t>
      </w:r>
      <w:r>
        <w:rPr>
          <w:rFonts w:hint="eastAsia" w:ascii="仿宋_GB2312" w:hAnsi="仿宋_GB2312" w:eastAsia="仿宋_GB2312" w:cs="仿宋_GB2312"/>
          <w:sz w:val="28"/>
          <w:szCs w:val="28"/>
          <w:u w:val="single"/>
        </w:rPr>
        <w:t>安徽迅捷物流肥东有限责任公司</w:t>
      </w:r>
      <w:r>
        <w:rPr>
          <w:rFonts w:hint="eastAsia" w:ascii="仿宋_GB2312" w:hAnsi="仿宋_GB2312" w:eastAsia="仿宋_GB2312" w:cs="仿宋_GB2312"/>
          <w:sz w:val="28"/>
          <w:szCs w:val="28"/>
        </w:rPr>
        <w:t>（地点）组织进行响应文件的启封。</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7.发布公告的媒介</w:t>
      </w:r>
      <w:bookmarkEnd w:id="41"/>
      <w:bookmarkEnd w:id="42"/>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本次采购公告在安徽迅捷物流有限责任公司网站（网址：https://www.ahxj.cn）上发布。</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43" w:name="_Toc321_WPSOffice_Level2"/>
      <w:bookmarkStart w:id="44" w:name="_Toc14943_WPSOffice_Level2"/>
      <w:bookmarkStart w:id="45" w:name="_Toc26829"/>
      <w:bookmarkStart w:id="46" w:name="_Toc525632592"/>
      <w:bookmarkStart w:id="47" w:name="_Toc20572_WPSOffice_Level2"/>
      <w:bookmarkStart w:id="48" w:name="_Toc8501"/>
      <w:bookmarkStart w:id="49" w:name="_Toc28571_WPSOffice_Level2"/>
      <w:r>
        <w:rPr>
          <w:rFonts w:hint="eastAsia" w:ascii="仿宋_GB2312" w:hAnsi="仿宋_GB2312" w:eastAsia="仿宋_GB2312" w:cs="仿宋_GB2312"/>
          <w:sz w:val="28"/>
          <w:szCs w:val="28"/>
        </w:rPr>
        <w:t>8.采购人联系方式</w:t>
      </w:r>
      <w:bookmarkEnd w:id="43"/>
      <w:bookmarkEnd w:id="44"/>
      <w:bookmarkEnd w:id="45"/>
      <w:bookmarkEnd w:id="46"/>
      <w:bookmarkEnd w:id="47"/>
      <w:bookmarkEnd w:id="48"/>
      <w:bookmarkEnd w:id="49"/>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采 购 人：安徽迅捷物流肥东有限责任公司                  </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地    址：安徽省合肥市肥东县撮镇镇合肥商贸物流开发区桥头集路与高亮路交叉口</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邮政编码：230000                </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联 系 人：梁先生               </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电    话：13955178761               </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电子邮箱：845443279@qq.com              </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2022</w:t>
      </w:r>
      <w:r>
        <w:rPr>
          <w:rFonts w:ascii="仿宋_GB2312" w:hAnsi="仿宋_GB2312" w:eastAsia="仿宋_GB2312" w:cs="仿宋_GB2312"/>
          <w:sz w:val="28"/>
          <w:szCs w:val="28"/>
        </w:rPr>
        <w:t>年</w:t>
      </w:r>
      <w:r>
        <w:rPr>
          <w:rFonts w:hint="eastAsia" w:ascii="仿宋_GB2312" w:hAnsi="仿宋_GB2312" w:eastAsia="仿宋_GB2312" w:cs="仿宋_GB2312"/>
          <w:sz w:val="28"/>
          <w:szCs w:val="28"/>
          <w:u w:val="single"/>
        </w:rPr>
        <w:t>7</w:t>
      </w:r>
      <w:r>
        <w:rPr>
          <w:rFonts w:ascii="仿宋_GB2312" w:hAnsi="仿宋_GB2312" w:eastAsia="仿宋_GB2312" w:cs="仿宋_GB2312"/>
          <w:sz w:val="28"/>
          <w:szCs w:val="28"/>
        </w:rPr>
        <w:t>月</w:t>
      </w:r>
      <w:r>
        <w:rPr>
          <w:rFonts w:hint="eastAsia" w:ascii="仿宋_GB2312" w:hAnsi="仿宋_GB2312" w:eastAsia="仿宋_GB2312" w:cs="仿宋_GB2312"/>
          <w:sz w:val="28"/>
          <w:szCs w:val="28"/>
          <w:u w:val="single"/>
        </w:rPr>
        <w:t>1</w:t>
      </w:r>
      <w:r>
        <w:rPr>
          <w:rFonts w:hint="eastAsia" w:ascii="仿宋_GB2312" w:hAnsi="仿宋_GB2312" w:eastAsia="仿宋_GB2312" w:cs="仿宋_GB2312"/>
          <w:sz w:val="28"/>
          <w:szCs w:val="28"/>
          <w:u w:val="single"/>
          <w:lang w:val="en-US" w:eastAsia="zh-CN"/>
        </w:rPr>
        <w:t>9</w:t>
      </w:r>
      <w:r>
        <w:rPr>
          <w:rFonts w:ascii="仿宋_GB2312" w:hAnsi="仿宋_GB2312" w:eastAsia="仿宋_GB2312" w:cs="仿宋_GB2312"/>
          <w:sz w:val="28"/>
          <w:szCs w:val="28"/>
        </w:rPr>
        <w:t>日</w:t>
      </w:r>
      <w:bookmarkStart w:id="270" w:name="_GoBack"/>
      <w:bookmarkEnd w:id="270"/>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pStyle w:val="20"/>
        <w:spacing w:line="360" w:lineRule="auto"/>
        <w:rPr>
          <w:rFonts w:ascii="宋体" w:hAnsi="宋体" w:cs="Times New Roman"/>
        </w:rPr>
      </w:pPr>
      <w:bookmarkStart w:id="50" w:name="_Toc12694_WPSOffice_Level1"/>
      <w:r>
        <w:rPr>
          <w:rFonts w:hint="eastAsia" w:ascii="宋体" w:hAnsi="宋体" w:cs="Times New Roman"/>
        </w:rPr>
        <w:t>第二章  供应商须知</w:t>
      </w:r>
      <w:bookmarkEnd w:id="50"/>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51" w:name="_Toc26656938"/>
      <w:bookmarkStart w:id="52" w:name="_Toc14201207"/>
      <w:bookmarkStart w:id="53" w:name="_Toc9067720"/>
      <w:r>
        <w:rPr>
          <w:rFonts w:hint="eastAsia" w:ascii="仿宋_GB2312" w:hAnsi="仿宋_GB2312" w:eastAsia="仿宋_GB2312" w:cs="仿宋_GB2312"/>
          <w:sz w:val="28"/>
          <w:szCs w:val="28"/>
        </w:rPr>
        <w:t>1. 总则</w:t>
      </w:r>
      <w:bookmarkEnd w:id="51"/>
      <w:bookmarkEnd w:id="52"/>
      <w:bookmarkEnd w:id="53"/>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54" w:name="_Toc26656939"/>
      <w:bookmarkStart w:id="55" w:name="_Toc14201208"/>
      <w:r>
        <w:rPr>
          <w:rFonts w:hint="eastAsia" w:ascii="仿宋_GB2312" w:hAnsi="仿宋_GB2312" w:eastAsia="仿宋_GB2312" w:cs="仿宋_GB2312"/>
          <w:sz w:val="28"/>
          <w:szCs w:val="28"/>
        </w:rPr>
        <w:t xml:space="preserve">1.1 </w:t>
      </w:r>
      <w:bookmarkEnd w:id="54"/>
      <w:bookmarkEnd w:id="55"/>
      <w:bookmarkStart w:id="56" w:name="_Toc14201210"/>
      <w:bookmarkStart w:id="57" w:name="_Toc26656941"/>
      <w:r>
        <w:rPr>
          <w:rFonts w:hint="eastAsia" w:ascii="仿宋_GB2312" w:hAnsi="仿宋_GB2312" w:eastAsia="仿宋_GB2312" w:cs="仿宋_GB2312"/>
          <w:sz w:val="28"/>
          <w:szCs w:val="28"/>
        </w:rPr>
        <w:t>质量要求和安全</w:t>
      </w:r>
      <w:bookmarkEnd w:id="56"/>
      <w:bookmarkEnd w:id="57"/>
      <w:r>
        <w:rPr>
          <w:rFonts w:hint="eastAsia" w:ascii="仿宋_GB2312" w:hAnsi="仿宋_GB2312" w:eastAsia="仿宋_GB2312" w:cs="仿宋_GB2312"/>
          <w:sz w:val="28"/>
          <w:szCs w:val="28"/>
        </w:rPr>
        <w:t>目标</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1.1.1 本合同包的质量要求：</w:t>
      </w:r>
      <w:r>
        <w:rPr>
          <w:rFonts w:hint="eastAsia" w:ascii="仿宋_GB2312" w:hAnsi="仿宋_GB2312" w:eastAsia="仿宋_GB2312" w:cs="仿宋_GB2312"/>
          <w:sz w:val="28"/>
          <w:szCs w:val="28"/>
          <w:u w:val="single"/>
        </w:rPr>
        <w:t>合格</w:t>
      </w:r>
      <w:r>
        <w:rPr>
          <w:rFonts w:hint="eastAsia" w:ascii="仿宋_GB2312" w:hAnsi="仿宋_GB2312" w:eastAsia="仿宋_GB2312" w:cs="仿宋_GB2312"/>
          <w:sz w:val="28"/>
          <w:szCs w:val="28"/>
        </w:rPr>
        <w:t>。</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1.1.2 本合同包的安全目标：无工伤事故，无偷盗等案件发生。</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58" w:name="_Toc14201211"/>
      <w:bookmarkStart w:id="59" w:name="_Toc26656942"/>
      <w:r>
        <w:rPr>
          <w:rFonts w:hint="eastAsia" w:ascii="仿宋_GB2312" w:hAnsi="仿宋_GB2312" w:eastAsia="仿宋_GB2312" w:cs="仿宋_GB2312"/>
          <w:sz w:val="28"/>
          <w:szCs w:val="28"/>
        </w:rPr>
        <w:t>1.2 供应商资格要求</w:t>
      </w:r>
      <w:bookmarkEnd w:id="58"/>
      <w:bookmarkEnd w:id="59"/>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1.2.1供应商应具备承担本合同包服务的资质条件、能力和信誉：见第一章 采购公告。</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1.2.2 其他要求：</w:t>
      </w:r>
      <w:r>
        <w:rPr>
          <w:rFonts w:hint="eastAsia" w:ascii="仿宋_GB2312" w:hAnsi="仿宋_GB2312" w:eastAsia="仿宋_GB2312" w:cs="仿宋_GB2312"/>
          <w:sz w:val="28"/>
          <w:szCs w:val="28"/>
          <w:u w:val="single"/>
        </w:rPr>
        <w:t xml:space="preserve">      /       </w:t>
      </w:r>
      <w:r>
        <w:rPr>
          <w:rFonts w:hint="eastAsia" w:ascii="仿宋_GB2312" w:hAnsi="仿宋_GB2312" w:eastAsia="仿宋_GB2312" w:cs="仿宋_GB2312"/>
          <w:sz w:val="28"/>
          <w:szCs w:val="28"/>
        </w:rPr>
        <w:t>。</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60" w:name="_Toc14201212"/>
      <w:bookmarkStart w:id="61" w:name="_Toc26656943"/>
      <w:r>
        <w:rPr>
          <w:rFonts w:hint="eastAsia" w:ascii="仿宋_GB2312" w:hAnsi="仿宋_GB2312" w:eastAsia="仿宋_GB2312" w:cs="仿宋_GB2312"/>
          <w:sz w:val="28"/>
          <w:szCs w:val="28"/>
        </w:rPr>
        <w:t>1.3 费用承担</w:t>
      </w:r>
      <w:bookmarkEnd w:id="60"/>
      <w:bookmarkEnd w:id="61"/>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供应商准备和参加询比活动发生的费用自理。</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62" w:name="_Toc26656944"/>
      <w:bookmarkStart w:id="63" w:name="_Toc14201213"/>
      <w:r>
        <w:rPr>
          <w:rFonts w:hint="eastAsia" w:ascii="仿宋_GB2312" w:hAnsi="仿宋_GB2312" w:eastAsia="仿宋_GB2312" w:cs="仿宋_GB2312"/>
          <w:sz w:val="28"/>
          <w:szCs w:val="28"/>
        </w:rPr>
        <w:t>1.4 保密</w:t>
      </w:r>
      <w:bookmarkEnd w:id="62"/>
      <w:bookmarkEnd w:id="63"/>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参与询比活动的各方应对询比文件和响应文件中的商业和技术等秘密保密，否则应承担相应的法律责任。</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64" w:name="_Toc26656946"/>
      <w:bookmarkStart w:id="65" w:name="_Toc14201215"/>
      <w:r>
        <w:rPr>
          <w:rFonts w:hint="eastAsia" w:ascii="仿宋_GB2312" w:hAnsi="仿宋_GB2312" w:eastAsia="仿宋_GB2312" w:cs="仿宋_GB2312"/>
          <w:sz w:val="28"/>
          <w:szCs w:val="28"/>
        </w:rPr>
        <w:t>1.5 计量单位</w:t>
      </w:r>
      <w:bookmarkEnd w:id="64"/>
      <w:bookmarkEnd w:id="65"/>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所有计量均采用中华人民共和国法定计量单位。</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66" w:name="_Toc14201216"/>
      <w:bookmarkStart w:id="67" w:name="_Toc26656947"/>
      <w:r>
        <w:rPr>
          <w:rFonts w:hint="eastAsia" w:ascii="仿宋_GB2312" w:hAnsi="仿宋_GB2312" w:eastAsia="仿宋_GB2312" w:cs="仿宋_GB2312"/>
          <w:sz w:val="28"/>
          <w:szCs w:val="28"/>
        </w:rPr>
        <w:t>1.6 踏勘现场</w:t>
      </w:r>
      <w:bookmarkEnd w:id="66"/>
      <w:bookmarkEnd w:id="67"/>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供应商自行踏勘现场且费用自理。</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68" w:name="_Toc26656949"/>
      <w:bookmarkStart w:id="69" w:name="_Toc14201218"/>
      <w:r>
        <w:rPr>
          <w:rFonts w:hint="eastAsia" w:ascii="仿宋_GB2312" w:hAnsi="仿宋_GB2312" w:eastAsia="仿宋_GB2312" w:cs="仿宋_GB2312"/>
          <w:sz w:val="28"/>
          <w:szCs w:val="28"/>
        </w:rPr>
        <w:t>1.7 分包</w:t>
      </w:r>
      <w:bookmarkEnd w:id="68"/>
      <w:bookmarkEnd w:id="69"/>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不允许分包。        </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70" w:name="_Toc14201219"/>
      <w:bookmarkStart w:id="71" w:name="_Toc26656950"/>
      <w:r>
        <w:rPr>
          <w:rFonts w:hint="eastAsia" w:ascii="仿宋_GB2312" w:hAnsi="仿宋_GB2312" w:eastAsia="仿宋_GB2312" w:cs="仿宋_GB2312"/>
          <w:sz w:val="28"/>
          <w:szCs w:val="28"/>
        </w:rPr>
        <w:t>1.8 偏</w:t>
      </w:r>
      <w:bookmarkEnd w:id="70"/>
      <w:bookmarkEnd w:id="71"/>
      <w:r>
        <w:rPr>
          <w:rFonts w:hint="eastAsia" w:ascii="仿宋_GB2312" w:hAnsi="仿宋_GB2312" w:eastAsia="仿宋_GB2312" w:cs="仿宋_GB2312"/>
          <w:sz w:val="28"/>
          <w:szCs w:val="28"/>
        </w:rPr>
        <w:t>差</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1.8.1 偏差包括重大偏差和细微偏差。</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1.8.2 响应文件存在第三章“评审办法”中所列任一否决响应文件情形的，均属于存在重大偏差，响应文件将被否决。</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72" w:name="_Toc9067721"/>
      <w:bookmarkStart w:id="73" w:name="_Toc26656951"/>
      <w:bookmarkStart w:id="74" w:name="_Toc14201220"/>
      <w:r>
        <w:rPr>
          <w:rFonts w:hint="eastAsia" w:ascii="仿宋_GB2312" w:hAnsi="仿宋_GB2312" w:eastAsia="仿宋_GB2312" w:cs="仿宋_GB2312"/>
          <w:sz w:val="28"/>
          <w:szCs w:val="28"/>
        </w:rPr>
        <w:t xml:space="preserve">2. </w:t>
      </w:r>
      <w:bookmarkEnd w:id="72"/>
      <w:bookmarkEnd w:id="73"/>
      <w:bookmarkEnd w:id="74"/>
      <w:r>
        <w:rPr>
          <w:rFonts w:hint="eastAsia" w:ascii="仿宋_GB2312" w:hAnsi="仿宋_GB2312" w:eastAsia="仿宋_GB2312" w:cs="仿宋_GB2312"/>
          <w:sz w:val="28"/>
          <w:szCs w:val="28"/>
        </w:rPr>
        <w:t>询比文件</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75" w:name="_Toc26656952"/>
      <w:bookmarkStart w:id="76" w:name="_Toc14201221"/>
      <w:r>
        <w:rPr>
          <w:rFonts w:hint="eastAsia" w:ascii="仿宋_GB2312" w:hAnsi="仿宋_GB2312" w:eastAsia="仿宋_GB2312" w:cs="仿宋_GB2312"/>
          <w:sz w:val="28"/>
          <w:szCs w:val="28"/>
        </w:rPr>
        <w:t>2.1 询比文件的组成</w:t>
      </w:r>
      <w:bookmarkEnd w:id="75"/>
      <w:bookmarkEnd w:id="76"/>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本询比文件包括：</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（1）采购公告；</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（2）供应商须知；</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（3）评审办法；</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（4）合同条款及格式；</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（5）采购需求及清单；</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（6）响应文件格式。</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根据本章第2.2款对询比文件所作的澄清、修改，构成询比文件的组成部分。</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当询比文件、询比文件的澄清或修改等在同一内容的表述上不一致时，以最后发出的书面文件为准。</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77" w:name="_Toc14201222"/>
      <w:bookmarkStart w:id="78" w:name="_Toc26656953"/>
      <w:r>
        <w:rPr>
          <w:rFonts w:hint="eastAsia" w:ascii="仿宋_GB2312" w:hAnsi="仿宋_GB2312" w:eastAsia="仿宋_GB2312" w:cs="仿宋_GB2312"/>
          <w:sz w:val="28"/>
          <w:szCs w:val="28"/>
        </w:rPr>
        <w:t>2.2 询比文件的澄清</w:t>
      </w:r>
      <w:bookmarkEnd w:id="77"/>
      <w:bookmarkEnd w:id="78"/>
      <w:r>
        <w:rPr>
          <w:rFonts w:hint="eastAsia" w:ascii="仿宋_GB2312" w:hAnsi="仿宋_GB2312" w:eastAsia="仿宋_GB2312" w:cs="仿宋_GB2312"/>
          <w:sz w:val="28"/>
          <w:szCs w:val="28"/>
        </w:rPr>
        <w:t>与修改</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2.2.1供应商如有疑问，应在递交响应文件的截止时间前2日要求采购人对询比文件予以澄清或修改。</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2.2.2 除非采购人认为确有必要答复，否则，采购人有权拒绝回复供应商在本章第2.2.1项规定的时间后提出的任何澄清或修改要求。</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79" w:name="_Toc26656956"/>
      <w:bookmarkStart w:id="80" w:name="_Toc9067722"/>
      <w:bookmarkStart w:id="81" w:name="_Toc14201225"/>
      <w:r>
        <w:rPr>
          <w:rFonts w:hint="eastAsia" w:ascii="仿宋_GB2312" w:hAnsi="仿宋_GB2312" w:eastAsia="仿宋_GB2312" w:cs="仿宋_GB2312"/>
          <w:sz w:val="28"/>
          <w:szCs w:val="28"/>
        </w:rPr>
        <w:t xml:space="preserve">3. </w:t>
      </w:r>
      <w:bookmarkEnd w:id="79"/>
      <w:bookmarkEnd w:id="80"/>
      <w:bookmarkEnd w:id="81"/>
      <w:r>
        <w:rPr>
          <w:rFonts w:hint="eastAsia" w:ascii="仿宋_GB2312" w:hAnsi="仿宋_GB2312" w:eastAsia="仿宋_GB2312" w:cs="仿宋_GB2312"/>
          <w:sz w:val="28"/>
          <w:szCs w:val="28"/>
        </w:rPr>
        <w:t>响应文件</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82" w:name="_Toc14201226"/>
      <w:bookmarkStart w:id="83" w:name="_Toc26656957"/>
      <w:r>
        <w:rPr>
          <w:rFonts w:hint="eastAsia" w:ascii="仿宋_GB2312" w:hAnsi="仿宋_GB2312" w:eastAsia="仿宋_GB2312" w:cs="仿宋_GB2312"/>
          <w:sz w:val="28"/>
          <w:szCs w:val="28"/>
        </w:rPr>
        <w:t>3.1响应文件的组成</w:t>
      </w:r>
      <w:bookmarkEnd w:id="82"/>
      <w:bookmarkEnd w:id="83"/>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响应文件应包括下列内容：</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（1）报价函；</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（2）法定代表人身份证明及授权委托书；</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（3）已标价的报价清单；</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（4）供应商基本情况（含供应商资格条件）；</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（5）近年类似业绩情况；</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（6）信誉情况；</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（7）技术方案。</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84" w:name="_Toc14201227"/>
      <w:bookmarkStart w:id="85" w:name="_Toc26656958"/>
      <w:r>
        <w:rPr>
          <w:rFonts w:hint="eastAsia" w:ascii="仿宋_GB2312" w:hAnsi="仿宋_GB2312" w:eastAsia="仿宋_GB2312" w:cs="仿宋_GB2312"/>
          <w:sz w:val="28"/>
          <w:szCs w:val="28"/>
        </w:rPr>
        <w:t>3.2 报价</w:t>
      </w:r>
      <w:bookmarkEnd w:id="84"/>
      <w:bookmarkEnd w:id="85"/>
      <w:r>
        <w:rPr>
          <w:rFonts w:hint="eastAsia" w:ascii="仿宋_GB2312" w:hAnsi="仿宋_GB2312" w:eastAsia="仿宋_GB2312" w:cs="仿宋_GB2312"/>
          <w:sz w:val="28"/>
          <w:szCs w:val="28"/>
        </w:rPr>
        <w:t xml:space="preserve">要求 </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3.2.1 报价应包括国家规定的增值税税金，供应商应提供增值税6%专用发票。</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3.2.2 供应商应按第六章“响应文件格式”的要求在报价函中进行报价并填写报价清单相应表格。</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3.2.3 采购人设有最高限价的，供应商的报价不得超过最高限价，否则其报价将被否决，最高限价见第一章“采购公告”第2.5款。</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3.2.4本项目的报价方式为（总价）。</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3.2.5 报价的其他要求：</w:t>
      </w:r>
      <w:r>
        <w:rPr>
          <w:rFonts w:hint="eastAsia" w:ascii="仿宋_GB2312" w:hAnsi="仿宋_GB2312" w:eastAsia="仿宋_GB2312" w:cs="仿宋_GB2312"/>
          <w:sz w:val="28"/>
          <w:szCs w:val="28"/>
          <w:u w:val="single"/>
        </w:rPr>
        <w:t xml:space="preserve">      /      </w:t>
      </w:r>
      <w:r>
        <w:rPr>
          <w:rFonts w:hint="eastAsia" w:ascii="仿宋_GB2312" w:hAnsi="仿宋_GB2312" w:eastAsia="仿宋_GB2312" w:cs="仿宋_GB2312"/>
          <w:sz w:val="28"/>
          <w:szCs w:val="28"/>
        </w:rPr>
        <w:t xml:space="preserve"> 。</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86" w:name="_Toc14201228"/>
      <w:bookmarkStart w:id="87" w:name="_Toc26656959"/>
      <w:r>
        <w:rPr>
          <w:rFonts w:hint="eastAsia" w:ascii="仿宋_GB2312" w:hAnsi="仿宋_GB2312" w:eastAsia="仿宋_GB2312" w:cs="仿宋_GB2312"/>
          <w:sz w:val="28"/>
          <w:szCs w:val="28"/>
        </w:rPr>
        <w:t>3.3</w:t>
      </w:r>
      <w:bookmarkEnd w:id="86"/>
      <w:bookmarkEnd w:id="87"/>
      <w:r>
        <w:rPr>
          <w:rFonts w:hint="eastAsia" w:ascii="仿宋_GB2312" w:hAnsi="仿宋_GB2312" w:eastAsia="仿宋_GB2312" w:cs="仿宋_GB2312"/>
          <w:sz w:val="28"/>
          <w:szCs w:val="28"/>
        </w:rPr>
        <w:t>响应有效期</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3.3.1 响应有效期为自供应商递交响应文件截止之日起计算90日。</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3.3.2 在响应有效期内，供应商撤销响应文件的，应承担询比文件和法律规定的责任。</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88" w:name="_Toc14201230"/>
      <w:bookmarkStart w:id="89" w:name="_Toc26656961"/>
      <w:r>
        <w:rPr>
          <w:rFonts w:hint="eastAsia" w:ascii="仿宋_GB2312" w:hAnsi="仿宋_GB2312" w:eastAsia="仿宋_GB2312" w:cs="仿宋_GB2312"/>
          <w:sz w:val="28"/>
          <w:szCs w:val="28"/>
        </w:rPr>
        <w:t>3.4资格审查资料</w:t>
      </w:r>
      <w:bookmarkEnd w:id="88"/>
      <w:bookmarkEnd w:id="89"/>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供应商应按第六章“响应文件格式”的规定提供资格审查资料，以证明其满足本章第1.2款规定的资质、业绩、信誉等要求。</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90" w:name="_Toc26656963"/>
      <w:bookmarkStart w:id="91" w:name="_Toc14201232"/>
      <w:r>
        <w:rPr>
          <w:rFonts w:hint="eastAsia" w:ascii="仿宋_GB2312" w:hAnsi="仿宋_GB2312" w:eastAsia="仿宋_GB2312" w:cs="仿宋_GB2312"/>
          <w:sz w:val="28"/>
          <w:szCs w:val="28"/>
        </w:rPr>
        <w:t>3.5响应文件的编制</w:t>
      </w:r>
      <w:bookmarkEnd w:id="90"/>
      <w:bookmarkEnd w:id="91"/>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3.5.1 响应文件应按第六章“响应文件格式”进行编写，如有必要，可以增加附页，作为响应文件的组成部分。</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3.5.2 响应文件应当对询比文件有关服务期、响应有效期、质量要求、安全目标、技术标准和要求、采购范围等实质性内容作出响应。</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3.5.3响应文件的制作应满足以下规定：</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响应文件应用不褪色的材料书写或打印，并按第六章“响应文件格式”的要求进行签名和（或）盖章。响应文件应尽量避免涂改、行间插字或删除。如果出现上述情况，改动之处应由供应商的法定代表人或其授权的代理人签名或盖单位章。</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（2）响应文件正本一份，副本一份。正本和副本的封面右上角上应清楚地标记“正本”或“副本”的字样。当副本和正本不一致时，以正本文件为准。</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（3）响应文件的正本与副本应分别装订。</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92" w:name="_Toc26656964"/>
      <w:bookmarkStart w:id="93" w:name="_Toc9067723"/>
      <w:bookmarkStart w:id="94" w:name="_Toc14201233"/>
      <w:r>
        <w:rPr>
          <w:rFonts w:hint="eastAsia" w:ascii="仿宋_GB2312" w:hAnsi="仿宋_GB2312" w:eastAsia="仿宋_GB2312" w:cs="仿宋_GB2312"/>
          <w:sz w:val="28"/>
          <w:szCs w:val="28"/>
        </w:rPr>
        <w:t xml:space="preserve">4. </w:t>
      </w:r>
      <w:bookmarkEnd w:id="92"/>
      <w:bookmarkEnd w:id="93"/>
      <w:bookmarkEnd w:id="94"/>
      <w:r>
        <w:rPr>
          <w:rFonts w:hint="eastAsia" w:ascii="仿宋_GB2312" w:hAnsi="仿宋_GB2312" w:eastAsia="仿宋_GB2312" w:cs="仿宋_GB2312"/>
          <w:sz w:val="28"/>
          <w:szCs w:val="28"/>
        </w:rPr>
        <w:t>响应文件的递交</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95" w:name="_Toc26656965"/>
      <w:bookmarkStart w:id="96" w:name="_Toc14201234"/>
      <w:r>
        <w:rPr>
          <w:rFonts w:hint="eastAsia" w:ascii="仿宋_GB2312" w:hAnsi="仿宋_GB2312" w:eastAsia="仿宋_GB2312" w:cs="仿宋_GB2312"/>
          <w:sz w:val="28"/>
          <w:szCs w:val="28"/>
        </w:rPr>
        <w:t>4.1响应文件的密封和标记</w:t>
      </w:r>
      <w:bookmarkEnd w:id="95"/>
      <w:bookmarkEnd w:id="96"/>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4.1.1响应文件正、副本应密封包装在一个封套内，封套上注明：</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供应商名称：</w:t>
      </w:r>
      <w:r>
        <w:rPr>
          <w:rFonts w:hint="eastAsia" w:ascii="仿宋_GB2312" w:hAnsi="仿宋_GB2312" w:eastAsia="仿宋_GB2312" w:cs="仿宋_GB2312"/>
          <w:sz w:val="28"/>
          <w:szCs w:val="28"/>
          <w:u w:val="single"/>
        </w:rPr>
        <w:t xml:space="preserve">            </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(项目名称)      </w:t>
      </w:r>
      <w:r>
        <w:rPr>
          <w:rFonts w:hint="eastAsia" w:ascii="仿宋_GB2312" w:hAnsi="仿宋_GB2312" w:eastAsia="仿宋_GB2312" w:cs="仿宋_GB2312"/>
          <w:sz w:val="28"/>
          <w:szCs w:val="28"/>
        </w:rPr>
        <w:t>合同包响应文件</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在</w:t>
      </w:r>
      <w:r>
        <w:rPr>
          <w:rFonts w:hint="eastAsia" w:ascii="仿宋_GB2312" w:hAnsi="仿宋_GB2312" w:eastAsia="仿宋_GB2312" w:cs="仿宋_GB2312"/>
          <w:sz w:val="28"/>
          <w:szCs w:val="28"/>
          <w:highlight w:val="yellow"/>
        </w:rPr>
        <w:t xml:space="preserve"> </w:t>
      </w:r>
      <w:r>
        <w:rPr>
          <w:rFonts w:hint="eastAsia" w:ascii="仿宋_GB2312" w:hAnsi="仿宋_GB2312" w:eastAsia="仿宋_GB2312" w:cs="仿宋_GB2312"/>
          <w:sz w:val="28"/>
          <w:szCs w:val="28"/>
          <w:highlight w:val="yellow"/>
          <w:u w:val="single"/>
        </w:rPr>
        <w:t>2022年 7月 26日14时 00 分</w:t>
      </w:r>
      <w:r>
        <w:rPr>
          <w:rFonts w:hint="eastAsia" w:ascii="仿宋_GB2312" w:hAnsi="仿宋_GB2312" w:eastAsia="仿宋_GB2312" w:cs="仿宋_GB2312"/>
          <w:sz w:val="28"/>
          <w:szCs w:val="28"/>
        </w:rPr>
        <w:t>（递交响应文件的截止时间）前不得开启</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4.1.2未按本章第4.1.1项要求密封的响应文件，采购人将予以拒收。</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97" w:name="_Toc26656966"/>
      <w:bookmarkStart w:id="98" w:name="_Toc14201235"/>
      <w:r>
        <w:rPr>
          <w:rFonts w:hint="eastAsia" w:ascii="仿宋_GB2312" w:hAnsi="仿宋_GB2312" w:eastAsia="仿宋_GB2312" w:cs="仿宋_GB2312"/>
          <w:sz w:val="28"/>
          <w:szCs w:val="28"/>
        </w:rPr>
        <w:t>4.2 响应文件的递交</w:t>
      </w:r>
      <w:bookmarkEnd w:id="97"/>
      <w:bookmarkEnd w:id="98"/>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4.2.1供应商应当按照第一章“采购公告”第5条的规定递交响应文件。</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4.2.2 递交响应文件的供应商数量不足3家时，采购人将宣布本次采购失败，并退还已递交的响应文件。</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4.2.3 除第4.2.2项规定外，供应商所递交的响应文件不予退还。</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99" w:name="_Toc9067724"/>
      <w:bookmarkStart w:id="100" w:name="_Toc14201237"/>
      <w:bookmarkStart w:id="101" w:name="_Toc26656968"/>
      <w:r>
        <w:rPr>
          <w:rFonts w:hint="eastAsia" w:ascii="仿宋_GB2312" w:hAnsi="仿宋_GB2312" w:eastAsia="仿宋_GB2312" w:cs="仿宋_GB2312"/>
          <w:sz w:val="28"/>
          <w:szCs w:val="28"/>
        </w:rPr>
        <w:t xml:space="preserve">5. </w:t>
      </w:r>
      <w:bookmarkEnd w:id="99"/>
      <w:bookmarkEnd w:id="100"/>
      <w:bookmarkEnd w:id="101"/>
      <w:r>
        <w:rPr>
          <w:rFonts w:hint="eastAsia" w:ascii="仿宋_GB2312" w:hAnsi="仿宋_GB2312" w:eastAsia="仿宋_GB2312" w:cs="仿宋_GB2312"/>
          <w:sz w:val="28"/>
          <w:szCs w:val="28"/>
        </w:rPr>
        <w:t>启封</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102" w:name="_Toc14201238"/>
      <w:bookmarkStart w:id="103" w:name="_Toc26656969"/>
      <w:r>
        <w:rPr>
          <w:rFonts w:hint="eastAsia" w:ascii="仿宋_GB2312" w:hAnsi="仿宋_GB2312" w:eastAsia="仿宋_GB2312" w:cs="仿宋_GB2312"/>
          <w:sz w:val="28"/>
          <w:szCs w:val="28"/>
        </w:rPr>
        <w:t>5.1 启封时间和地点</w:t>
      </w:r>
      <w:bookmarkEnd w:id="102"/>
      <w:bookmarkEnd w:id="103"/>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采购人在本章第4.2.1项规定的响应文件递交截止时间（启封时间），按照第一章“采购公告”第6条的规定进行启封。</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供应商若未派法定代表人或其委托代理人出席启封活动，视为该供应商默认启封结果。</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104" w:name="_Toc14201239"/>
      <w:bookmarkStart w:id="105" w:name="_Toc26656970"/>
      <w:r>
        <w:rPr>
          <w:rFonts w:hint="eastAsia" w:ascii="仿宋_GB2312" w:hAnsi="仿宋_GB2312" w:eastAsia="仿宋_GB2312" w:cs="仿宋_GB2312"/>
          <w:sz w:val="28"/>
          <w:szCs w:val="28"/>
        </w:rPr>
        <w:t>5.2启封程序</w:t>
      </w:r>
      <w:bookmarkEnd w:id="104"/>
      <w:bookmarkEnd w:id="105"/>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5.2.1主持人按下列程序进行启封： </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（1）公布在响应文件递交截止时间前递交响应文件的供应商名称；</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（2）由供应商推选的代表检查响应文件的密封情况； </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（3）对响应文件进行启封，公布供应商名称、合同包名称、报价、服务目标、安全目标、服务期递交情况及其他内容；</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（4）供应商代表、采购人代表、记录人等有关人员在启封记录上签名确认；</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（5）启封结束。</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5.2.1在响应文件启封中，采购人将按第三章“评审办法”规定，若采购人发现响应文件出现以下任一情况，其报价将不再参加评审：</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（1）报价超出采购人公布的最高限价；</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（2）未在报价函上填写总报价；</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（3）报价函中的报价与已标价的报价清单总报价不一致（四舍五入除外）；</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u w:val="single"/>
        </w:rPr>
        <w:t xml:space="preserve">         /     </w:t>
      </w:r>
      <w:r>
        <w:rPr>
          <w:rFonts w:hint="eastAsia" w:ascii="仿宋_GB2312" w:hAnsi="仿宋_GB2312" w:eastAsia="仿宋_GB2312" w:cs="仿宋_GB2312"/>
          <w:sz w:val="28"/>
          <w:szCs w:val="28"/>
        </w:rPr>
        <w:t>（其他情形）。</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5.2.2供应商在启封过程中有疑问的，应当在现场提出，采购人将当场作出答复。</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106" w:name="_Toc9067725"/>
      <w:bookmarkStart w:id="107" w:name="_Toc14201241"/>
      <w:bookmarkStart w:id="108" w:name="_Toc26656972"/>
      <w:r>
        <w:rPr>
          <w:rFonts w:hint="eastAsia" w:ascii="仿宋_GB2312" w:hAnsi="仿宋_GB2312" w:eastAsia="仿宋_GB2312" w:cs="仿宋_GB2312"/>
          <w:sz w:val="28"/>
          <w:szCs w:val="28"/>
        </w:rPr>
        <w:t>6. 评</w:t>
      </w:r>
      <w:bookmarkEnd w:id="106"/>
      <w:bookmarkEnd w:id="107"/>
      <w:bookmarkEnd w:id="108"/>
      <w:r>
        <w:rPr>
          <w:rFonts w:hint="eastAsia" w:ascii="仿宋_GB2312" w:hAnsi="仿宋_GB2312" w:eastAsia="仿宋_GB2312" w:cs="仿宋_GB2312"/>
          <w:sz w:val="28"/>
          <w:szCs w:val="28"/>
        </w:rPr>
        <w:t>审</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109" w:name="_Toc14201242"/>
      <w:bookmarkStart w:id="110" w:name="_Toc26656973"/>
      <w:r>
        <w:rPr>
          <w:rFonts w:hint="eastAsia" w:ascii="仿宋_GB2312" w:hAnsi="仿宋_GB2312" w:eastAsia="仿宋_GB2312" w:cs="仿宋_GB2312"/>
          <w:sz w:val="28"/>
          <w:szCs w:val="28"/>
        </w:rPr>
        <w:t>6.1</w:t>
      </w:r>
      <w:bookmarkEnd w:id="109"/>
      <w:bookmarkEnd w:id="110"/>
      <w:r>
        <w:rPr>
          <w:rFonts w:hint="eastAsia" w:ascii="仿宋_GB2312" w:hAnsi="仿宋_GB2312" w:eastAsia="仿宋_GB2312" w:cs="仿宋_GB2312"/>
          <w:sz w:val="28"/>
          <w:szCs w:val="28"/>
        </w:rPr>
        <w:t>评审小组</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highlight w:val="yellow"/>
        </w:rPr>
      </w:pPr>
      <w:r>
        <w:rPr>
          <w:rFonts w:hint="eastAsia" w:ascii="仿宋_GB2312" w:hAnsi="仿宋_GB2312" w:eastAsia="仿宋_GB2312" w:cs="仿宋_GB2312"/>
          <w:sz w:val="28"/>
          <w:szCs w:val="28"/>
        </w:rPr>
        <w:t>评审由采购人自行组建的评审小组负责。评审小组人数：7人。</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111" w:name="_Toc14201244"/>
      <w:bookmarkStart w:id="112" w:name="_Toc26656975"/>
      <w:r>
        <w:rPr>
          <w:rFonts w:hint="eastAsia" w:ascii="仿宋_GB2312" w:hAnsi="仿宋_GB2312" w:eastAsia="仿宋_GB2312" w:cs="仿宋_GB2312"/>
          <w:sz w:val="28"/>
          <w:szCs w:val="28"/>
        </w:rPr>
        <w:t>6.2评</w:t>
      </w:r>
      <w:bookmarkEnd w:id="111"/>
      <w:bookmarkEnd w:id="112"/>
      <w:r>
        <w:rPr>
          <w:rFonts w:hint="eastAsia" w:ascii="仿宋_GB2312" w:hAnsi="仿宋_GB2312" w:eastAsia="仿宋_GB2312" w:cs="仿宋_GB2312"/>
          <w:sz w:val="28"/>
          <w:szCs w:val="28"/>
        </w:rPr>
        <w:t>审</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6.2.1评审小组按照第三章“评审办法”规定的方法对响应文件进行评审。</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6.2.2评审完成后，评审小组应向采购人提交书面评审报告和成交候选人名单。</w:t>
      </w:r>
      <w:bookmarkStart w:id="113" w:name="_Toc26656976"/>
      <w:bookmarkStart w:id="114" w:name="_Toc9067726"/>
      <w:bookmarkStart w:id="115" w:name="_Toc14201245"/>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7. 合同授予</w:t>
      </w:r>
      <w:bookmarkEnd w:id="113"/>
      <w:bookmarkEnd w:id="114"/>
      <w:bookmarkEnd w:id="115"/>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116" w:name="_Toc26656977"/>
      <w:bookmarkStart w:id="117" w:name="_Toc14201246"/>
      <w:r>
        <w:rPr>
          <w:rFonts w:hint="eastAsia" w:ascii="仿宋_GB2312" w:hAnsi="仿宋_GB2312" w:eastAsia="仿宋_GB2312" w:cs="仿宋_GB2312"/>
          <w:sz w:val="28"/>
          <w:szCs w:val="28"/>
        </w:rPr>
        <w:t>7.1成交候选人公示</w:t>
      </w:r>
      <w:bookmarkEnd w:id="116"/>
      <w:bookmarkEnd w:id="117"/>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成交候选人在安徽迅捷物流有限责任公司网站（网址：https://www.ahxj.cn）公示，公示期2日。</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118" w:name="_Toc26656978"/>
      <w:bookmarkStart w:id="119" w:name="_Toc14201247"/>
      <w:r>
        <w:rPr>
          <w:rFonts w:hint="eastAsia" w:ascii="仿宋_GB2312" w:hAnsi="仿宋_GB2312" w:eastAsia="仿宋_GB2312" w:cs="仿宋_GB2312"/>
          <w:sz w:val="28"/>
          <w:szCs w:val="28"/>
        </w:rPr>
        <w:t>7.2评审结果异议</w:t>
      </w:r>
      <w:bookmarkEnd w:id="118"/>
      <w:bookmarkEnd w:id="119"/>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供应商或其他利害关系人对评审结果有异议的，应在成交候选人公示期间提出。</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120" w:name="_Toc26656979"/>
      <w:bookmarkStart w:id="121" w:name="_Toc14201248"/>
      <w:r>
        <w:rPr>
          <w:rFonts w:hint="eastAsia" w:ascii="仿宋_GB2312" w:hAnsi="仿宋_GB2312" w:eastAsia="仿宋_GB2312" w:cs="仿宋_GB2312"/>
          <w:sz w:val="28"/>
          <w:szCs w:val="28"/>
        </w:rPr>
        <w:t>7.3成交候选人履约能力审查</w:t>
      </w:r>
      <w:bookmarkEnd w:id="120"/>
      <w:bookmarkEnd w:id="121"/>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成交候选人的经营、财务状况发生较大变化或存在违法行为，采购人认为可能影响其履约能力的，将在发出成交通知书前提请原评审小组按照询比文件规定的标准和方法进行审查确认。</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122" w:name="_Toc14201250"/>
      <w:bookmarkStart w:id="123" w:name="_Toc26656981"/>
      <w:r>
        <w:rPr>
          <w:rFonts w:hint="eastAsia" w:ascii="仿宋_GB2312" w:hAnsi="仿宋_GB2312" w:eastAsia="仿宋_GB2312" w:cs="仿宋_GB2312"/>
          <w:sz w:val="28"/>
          <w:szCs w:val="28"/>
        </w:rPr>
        <w:t>7.</w:t>
      </w:r>
      <w:bookmarkEnd w:id="122"/>
      <w:bookmarkEnd w:id="123"/>
      <w:bookmarkStart w:id="124" w:name="_Toc14201252"/>
      <w:bookmarkStart w:id="125" w:name="_Toc26656983"/>
      <w:r>
        <w:rPr>
          <w:rFonts w:hint="eastAsia" w:ascii="仿宋_GB2312" w:hAnsi="仿宋_GB2312" w:eastAsia="仿宋_GB2312" w:cs="仿宋_GB2312"/>
          <w:sz w:val="28"/>
          <w:szCs w:val="28"/>
        </w:rPr>
        <w:t>4履约保证金</w:t>
      </w:r>
      <w:bookmarkEnd w:id="124"/>
      <w:bookmarkEnd w:id="125"/>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7.4.1在签订合同前，成交人应向采购人提交履约保证金。履约保证金的金额为5万元，履约保证金的形式为转账。</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7.4.2 成交人不能按本章第7.4.1项要求提交履约保证金的，视为自动放弃成交候选人资格，放弃签订书面合同资格，采购人不与其签订合同。</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126" w:name="_Toc14201253"/>
      <w:bookmarkStart w:id="127" w:name="_Toc26656984"/>
      <w:r>
        <w:rPr>
          <w:rFonts w:hint="eastAsia" w:ascii="仿宋_GB2312" w:hAnsi="仿宋_GB2312" w:eastAsia="仿宋_GB2312" w:cs="仿宋_GB2312"/>
          <w:sz w:val="28"/>
          <w:szCs w:val="28"/>
        </w:rPr>
        <w:t>7.5签订合同</w:t>
      </w:r>
      <w:bookmarkEnd w:id="126"/>
      <w:bookmarkEnd w:id="127"/>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采购人和成交人应在响应有效期内以及成交通知书发出之日起3日内，根据询比文件和成交人的响应文件订立书面合同。成交人无正当理由拒签合同，在签订合同时向采购人提出附加条件，或不按照询比文件要求提交履约保证金的，采购人取消其成交资格，</w:t>
      </w:r>
      <w:bookmarkStart w:id="128" w:name="_Toc26656988"/>
      <w:bookmarkStart w:id="129" w:name="_Toc14201257"/>
      <w:bookmarkStart w:id="130" w:name="_Toc9067727"/>
      <w:r>
        <w:rPr>
          <w:rFonts w:hint="eastAsia" w:ascii="仿宋_GB2312" w:hAnsi="仿宋_GB2312" w:eastAsia="仿宋_GB2312" w:cs="仿宋_GB2312"/>
          <w:sz w:val="28"/>
          <w:szCs w:val="28"/>
        </w:rPr>
        <w:t>不与其签订合同。</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8. 纪律和监督</w:t>
      </w:r>
      <w:bookmarkEnd w:id="128"/>
      <w:bookmarkEnd w:id="129"/>
      <w:bookmarkEnd w:id="130"/>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供应商不得相互串通报价或与采购人串通报价，不得向采购人或评审小组成员行贿谋取成交，不得以他人名义报价或以其他方式弄虚作假骗取成交；供应商不得以任何方式干扰、影响评审工作。</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131" w:name="_Toc26656993"/>
      <w:bookmarkStart w:id="132" w:name="_Toc14201262"/>
      <w:r>
        <w:rPr>
          <w:rFonts w:hint="eastAsia" w:ascii="仿宋_GB2312" w:hAnsi="仿宋_GB2312" w:eastAsia="仿宋_GB2312" w:cs="仿宋_GB2312"/>
          <w:sz w:val="28"/>
          <w:szCs w:val="28"/>
        </w:rPr>
        <w:t>9 投诉</w:t>
      </w:r>
      <w:bookmarkEnd w:id="131"/>
      <w:bookmarkEnd w:id="132"/>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9.1 供应商或其他利害关系人认为询比活动不符合法律法规规定的，可以自知道或应当知道之日起10日内向有关监督部门投诉。投诉应有明确的请求和必要的证明材料。</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9.2 监督部门及联系方式：</w:t>
      </w:r>
      <w:r>
        <w:rPr>
          <w:rFonts w:hint="eastAsia" w:ascii="仿宋_GB2312" w:hAnsi="仿宋_GB2312" w:eastAsia="仿宋_GB2312" w:cs="仿宋_GB2312"/>
          <w:sz w:val="28"/>
          <w:szCs w:val="28"/>
          <w:u w:val="single"/>
        </w:rPr>
        <w:t xml:space="preserve">   陈女士   </w:t>
      </w:r>
      <w:r>
        <w:rPr>
          <w:rFonts w:hint="eastAsia" w:ascii="仿宋_GB2312" w:hAnsi="仿宋_GB2312" w:eastAsia="仿宋_GB2312" w:cs="仿宋_GB2312"/>
          <w:sz w:val="28"/>
          <w:szCs w:val="28"/>
        </w:rPr>
        <w:t xml:space="preserve"> 电话：</w:t>
      </w:r>
      <w:r>
        <w:rPr>
          <w:rFonts w:hint="eastAsia" w:ascii="仿宋_GB2312" w:hAnsi="仿宋_GB2312" w:eastAsia="仿宋_GB2312" w:cs="仿宋_GB2312"/>
          <w:sz w:val="28"/>
          <w:szCs w:val="28"/>
          <w:u w:val="single"/>
        </w:rPr>
        <w:t xml:space="preserve">13956027426  </w:t>
      </w:r>
      <w:r>
        <w:rPr>
          <w:rFonts w:hint="eastAsia" w:ascii="仿宋_GB2312" w:hAnsi="仿宋_GB2312" w:eastAsia="仿宋_GB2312" w:cs="仿宋_GB2312"/>
          <w:sz w:val="28"/>
          <w:szCs w:val="28"/>
        </w:rPr>
        <w:t>。</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133" w:name="_Toc26656994"/>
      <w:bookmarkStart w:id="134" w:name="_Toc9067731"/>
      <w:bookmarkStart w:id="135" w:name="_Toc14201263"/>
      <w:r>
        <w:rPr>
          <w:rFonts w:hint="eastAsia" w:ascii="仿宋_GB2312" w:hAnsi="仿宋_GB2312" w:eastAsia="仿宋_GB2312" w:cs="仿宋_GB2312"/>
          <w:sz w:val="28"/>
          <w:szCs w:val="28"/>
        </w:rPr>
        <w:t>10. 需要补充的其他内容</w:t>
      </w:r>
      <w:bookmarkEnd w:id="133"/>
      <w:bookmarkEnd w:id="134"/>
      <w:bookmarkEnd w:id="135"/>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需要补充的其他内容：</w:t>
      </w:r>
      <w:r>
        <w:rPr>
          <w:rFonts w:hint="eastAsia" w:ascii="仿宋_GB2312" w:hAnsi="仿宋_GB2312" w:eastAsia="仿宋_GB2312" w:cs="仿宋_GB2312"/>
          <w:sz w:val="28"/>
          <w:szCs w:val="28"/>
          <w:u w:val="single"/>
        </w:rPr>
        <w:t xml:space="preserve">       /     </w:t>
      </w:r>
      <w:r>
        <w:rPr>
          <w:rFonts w:hint="eastAsia" w:ascii="仿宋_GB2312" w:hAnsi="仿宋_GB2312" w:eastAsia="仿宋_GB2312" w:cs="仿宋_GB2312"/>
          <w:sz w:val="28"/>
          <w:szCs w:val="28"/>
        </w:rPr>
        <w:t xml:space="preserve"> 。</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pStyle w:val="20"/>
        <w:spacing w:line="360" w:lineRule="auto"/>
        <w:ind w:firstLine="2200" w:firstLineChars="500"/>
        <w:jc w:val="both"/>
        <w:rPr>
          <w:rFonts w:ascii="仿宋_GB2312" w:hAnsi="仿宋_GB2312" w:eastAsia="仿宋_GB2312" w:cs="仿宋_GB2312"/>
          <w:sz w:val="28"/>
          <w:szCs w:val="28"/>
        </w:rPr>
        <w:sectPr>
          <w:footerReference r:id="rId3" w:type="default"/>
          <w:footnotePr>
            <w:numFmt w:val="decimalEnclosedCircleChinese"/>
            <w:numRestart w:val="eachPage"/>
          </w:footnotePr>
          <w:pgSz w:w="11906" w:h="16838"/>
          <w:pgMar w:top="1440" w:right="1797" w:bottom="1440" w:left="1797" w:header="851" w:footer="992" w:gutter="0"/>
          <w:cols w:space="720" w:num="1"/>
          <w:docGrid w:type="linesAndChars" w:linePitch="312" w:charSpace="0"/>
        </w:sectPr>
      </w:pPr>
      <w:bookmarkStart w:id="136" w:name="_Toc25593_WPSOffice_Level1"/>
      <w:r>
        <w:rPr>
          <w:rFonts w:hint="eastAsia" w:ascii="宋体" w:hAnsi="宋体" w:cs="Times New Roman"/>
        </w:rPr>
        <w:t>第三章 评审办法</w:t>
      </w:r>
      <w:bookmarkEnd w:id="136"/>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评审办法前附表（最低价法）</w:t>
      </w:r>
    </w:p>
    <w:tbl>
      <w:tblPr>
        <w:tblStyle w:val="21"/>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条款号</w:t>
            </w:r>
          </w:p>
        </w:tc>
        <w:tc>
          <w:tcPr>
            <w:tcW w:w="1774" w:type="dxa"/>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评审因素</w:t>
            </w:r>
          </w:p>
        </w:tc>
        <w:tc>
          <w:tcPr>
            <w:tcW w:w="5676" w:type="dxa"/>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8" w:type="dxa"/>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060" w:type="dxa"/>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评审方法</w:t>
            </w:r>
          </w:p>
        </w:tc>
        <w:tc>
          <w:tcPr>
            <w:tcW w:w="1774" w:type="dxa"/>
            <w:tcMar>
              <w:left w:w="75" w:type="dxa"/>
            </w:tcMar>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成交候选人</w:t>
            </w:r>
          </w:p>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排序方法</w:t>
            </w:r>
          </w:p>
        </w:tc>
        <w:tc>
          <w:tcPr>
            <w:tcW w:w="5676" w:type="dxa"/>
            <w:tcMar>
              <w:left w:w="75" w:type="dxa"/>
            </w:tcMar>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按评审价由低到高的顺序依次推荐成交候选人：</w:t>
            </w:r>
          </w:p>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52"/>
            </w:r>
            <w:r>
              <w:rPr>
                <w:rFonts w:hint="eastAsia" w:ascii="仿宋_GB2312" w:hAnsi="仿宋_GB2312" w:eastAsia="仿宋_GB2312" w:cs="仿宋_GB2312"/>
                <w:sz w:val="28"/>
                <w:szCs w:val="28"/>
              </w:rPr>
              <w:t>评审价相等时，以递交响应文件在前的优先。</w:t>
            </w:r>
          </w:p>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□____________/_______________</w:t>
            </w:r>
          </w:p>
        </w:tc>
      </w:tr>
    </w:tbl>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bl>
      <w:tblPr>
        <w:tblStyle w:val="21"/>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96"/>
        <w:gridCol w:w="1759"/>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80" w:type="dxa"/>
            <w:gridSpan w:val="2"/>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条款号</w:t>
            </w:r>
          </w:p>
        </w:tc>
        <w:tc>
          <w:tcPr>
            <w:tcW w:w="1759" w:type="dxa"/>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评审因素</w:t>
            </w:r>
          </w:p>
        </w:tc>
        <w:tc>
          <w:tcPr>
            <w:tcW w:w="5659" w:type="dxa"/>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vAlign w:val="center"/>
          </w:tcPr>
          <w:p>
            <w:pPr>
              <w:pStyle w:val="18"/>
              <w:widowControl/>
              <w:shd w:val="clear" w:color="auto" w:fill="FFFFFF"/>
              <w:spacing w:beforeAutospacing="0" w:afterAutospacing="0" w:line="560" w:lineRule="exact"/>
              <w:rPr>
                <w:rFonts w:ascii="仿宋_GB2312" w:hAnsi="仿宋_GB2312" w:eastAsia="仿宋_GB2312" w:cs="仿宋_GB2312"/>
                <w:sz w:val="28"/>
                <w:szCs w:val="28"/>
              </w:rPr>
            </w:pPr>
            <w:r>
              <w:rPr>
                <w:rFonts w:hint="eastAsia" w:ascii="仿宋_GB2312" w:hAnsi="仿宋_GB2312" w:eastAsia="仿宋_GB2312" w:cs="仿宋_GB2312"/>
              </w:rPr>
              <w:t>2.1.1</w:t>
            </w:r>
          </w:p>
        </w:tc>
        <w:tc>
          <w:tcPr>
            <w:tcW w:w="1096" w:type="dxa"/>
            <w:vMerge w:val="restart"/>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形式评审标准</w:t>
            </w:r>
          </w:p>
        </w:tc>
        <w:tc>
          <w:tcPr>
            <w:tcW w:w="1759" w:type="dxa"/>
            <w:tcMar>
              <w:left w:w="75" w:type="dxa"/>
            </w:tcMar>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供应商名称</w:t>
            </w:r>
          </w:p>
        </w:tc>
        <w:tc>
          <w:tcPr>
            <w:tcW w:w="5659" w:type="dxa"/>
            <w:tcMar>
              <w:left w:w="75" w:type="dxa"/>
            </w:tcMar>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096" w:type="dxa"/>
            <w:vMerge w:val="continue"/>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759" w:type="dxa"/>
            <w:tcMar>
              <w:left w:w="75" w:type="dxa"/>
            </w:tcMar>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响应文件格式</w:t>
            </w:r>
          </w:p>
        </w:tc>
        <w:tc>
          <w:tcPr>
            <w:tcW w:w="5659" w:type="dxa"/>
            <w:tcMar>
              <w:left w:w="75" w:type="dxa"/>
            </w:tcMar>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符合第六章“响应文件格式”的规定，关键字迹清晰可辨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096" w:type="dxa"/>
            <w:vMerge w:val="continue"/>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759" w:type="dxa"/>
            <w:tcMar>
              <w:left w:w="75" w:type="dxa"/>
            </w:tcMar>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签名盖章</w:t>
            </w:r>
          </w:p>
        </w:tc>
        <w:tc>
          <w:tcPr>
            <w:tcW w:w="5659" w:type="dxa"/>
            <w:tcMar>
              <w:left w:w="75" w:type="dxa"/>
            </w:tcMar>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符合第二章“供应商须知”第3.5.3项的规定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rPr>
              <w:t>2.1.2</w:t>
            </w:r>
          </w:p>
        </w:tc>
        <w:tc>
          <w:tcPr>
            <w:tcW w:w="1096" w:type="dxa"/>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资格评审标准</w:t>
            </w:r>
          </w:p>
        </w:tc>
        <w:tc>
          <w:tcPr>
            <w:tcW w:w="1759" w:type="dxa"/>
            <w:tcMar>
              <w:left w:w="75" w:type="dxa"/>
            </w:tcMar>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资质条件、能力、信誉</w:t>
            </w:r>
          </w:p>
        </w:tc>
        <w:tc>
          <w:tcPr>
            <w:tcW w:w="5659" w:type="dxa"/>
            <w:tcMar>
              <w:left w:w="75" w:type="dxa"/>
            </w:tcMar>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符合第二章“供应商须知”第1.2.1项规定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rPr>
              <w:t>2.1.3</w:t>
            </w:r>
          </w:p>
        </w:tc>
        <w:tc>
          <w:tcPr>
            <w:tcW w:w="1096" w:type="dxa"/>
            <w:vMerge w:val="restart"/>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响应性评审标准</w:t>
            </w:r>
          </w:p>
        </w:tc>
        <w:tc>
          <w:tcPr>
            <w:tcW w:w="1759" w:type="dxa"/>
            <w:tcMar>
              <w:left w:w="75" w:type="dxa"/>
            </w:tcMar>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报价内容</w:t>
            </w:r>
          </w:p>
        </w:tc>
        <w:tc>
          <w:tcPr>
            <w:tcW w:w="5659" w:type="dxa"/>
            <w:tcMar>
              <w:left w:w="75" w:type="dxa"/>
            </w:tcMar>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符合第一章“采购公告”规定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096" w:type="dxa"/>
            <w:vMerge w:val="continue"/>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759" w:type="dxa"/>
            <w:tcMar>
              <w:left w:w="75" w:type="dxa"/>
            </w:tcMar>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服务期</w:t>
            </w:r>
          </w:p>
        </w:tc>
        <w:tc>
          <w:tcPr>
            <w:tcW w:w="5659" w:type="dxa"/>
            <w:tcMar>
              <w:left w:w="75" w:type="dxa"/>
            </w:tcMar>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符合第一章“采购公告”规定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096" w:type="dxa"/>
            <w:vMerge w:val="continue"/>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759" w:type="dxa"/>
            <w:tcMar>
              <w:left w:w="75" w:type="dxa"/>
            </w:tcMar>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质量要求</w:t>
            </w:r>
          </w:p>
        </w:tc>
        <w:tc>
          <w:tcPr>
            <w:tcW w:w="5659" w:type="dxa"/>
            <w:tcMar>
              <w:left w:w="75" w:type="dxa"/>
            </w:tcMar>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符合第二章“供应商须知”第1.1.1项规定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096" w:type="dxa"/>
            <w:vMerge w:val="continue"/>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759" w:type="dxa"/>
            <w:tcMar>
              <w:left w:w="75" w:type="dxa"/>
            </w:tcMar>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安全目标</w:t>
            </w:r>
          </w:p>
        </w:tc>
        <w:tc>
          <w:tcPr>
            <w:tcW w:w="5659" w:type="dxa"/>
            <w:tcMar>
              <w:left w:w="75" w:type="dxa"/>
            </w:tcMar>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符合第二章“供应商须知”第1.1.2项规定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096" w:type="dxa"/>
            <w:vMerge w:val="continue"/>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759" w:type="dxa"/>
            <w:tcMar>
              <w:left w:w="75" w:type="dxa"/>
            </w:tcMar>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响应有效期</w:t>
            </w:r>
          </w:p>
        </w:tc>
        <w:tc>
          <w:tcPr>
            <w:tcW w:w="5659" w:type="dxa"/>
            <w:tcMar>
              <w:left w:w="75" w:type="dxa"/>
            </w:tcMar>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符合第二章“供应商须知”第3.3.1项规定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096" w:type="dxa"/>
            <w:vMerge w:val="continue"/>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759" w:type="dxa"/>
            <w:tcMar>
              <w:left w:w="75" w:type="dxa"/>
            </w:tcMar>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响应保证金</w:t>
            </w:r>
          </w:p>
        </w:tc>
        <w:tc>
          <w:tcPr>
            <w:tcW w:w="5659" w:type="dxa"/>
            <w:tcMar>
              <w:left w:w="75" w:type="dxa"/>
            </w:tcMar>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096" w:type="dxa"/>
            <w:vMerge w:val="continue"/>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759" w:type="dxa"/>
            <w:tcMar>
              <w:left w:w="75" w:type="dxa"/>
            </w:tcMar>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权利义务</w:t>
            </w:r>
          </w:p>
        </w:tc>
        <w:tc>
          <w:tcPr>
            <w:tcW w:w="5659" w:type="dxa"/>
            <w:tcMar>
              <w:left w:w="75" w:type="dxa"/>
            </w:tcMar>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符合询比文件规定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096" w:type="dxa"/>
            <w:vMerge w:val="continue"/>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759" w:type="dxa"/>
            <w:tcMar>
              <w:left w:w="75" w:type="dxa"/>
            </w:tcMar>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询比文件的获取</w:t>
            </w:r>
          </w:p>
        </w:tc>
        <w:tc>
          <w:tcPr>
            <w:tcW w:w="5659" w:type="dxa"/>
            <w:tcMar>
              <w:left w:w="75" w:type="dxa"/>
            </w:tcMar>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符合第一章“采购公告”规定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096" w:type="dxa"/>
            <w:vMerge w:val="continue"/>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759" w:type="dxa"/>
            <w:tcBorders>
              <w:top w:val="single" w:color="auto" w:sz="4" w:space="0"/>
              <w:left w:val="single" w:color="auto" w:sz="4" w:space="0"/>
              <w:right w:val="single" w:color="auto" w:sz="4" w:space="0"/>
            </w:tcBorders>
            <w:tcMar>
              <w:left w:w="75" w:type="dxa"/>
            </w:tcMar>
            <w:vAlign w:val="center"/>
          </w:tcPr>
          <w:p>
            <w:pPr>
              <w:pStyle w:val="18"/>
              <w:widowControl/>
              <w:shd w:val="clear" w:color="auto" w:fill="FFFFFF"/>
              <w:spacing w:beforeAutospacing="0" w:afterAutospacing="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联合体</w:t>
            </w:r>
          </w:p>
        </w:tc>
        <w:tc>
          <w:tcPr>
            <w:tcW w:w="5659" w:type="dxa"/>
            <w:tcBorders>
              <w:top w:val="outset" w:color="auto" w:sz="6" w:space="0"/>
              <w:left w:val="single" w:color="auto" w:sz="4" w:space="0"/>
              <w:right w:val="outset" w:color="auto" w:sz="6" w:space="0"/>
            </w:tcBorders>
            <w:tcMar>
              <w:left w:w="75" w:type="dxa"/>
            </w:tcMar>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未以联合体形式报价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096" w:type="dxa"/>
            <w:vMerge w:val="continue"/>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759" w:type="dxa"/>
            <w:tcBorders>
              <w:top w:val="single" w:color="auto" w:sz="4" w:space="0"/>
              <w:left w:val="single" w:color="auto" w:sz="4" w:space="0"/>
              <w:right w:val="single" w:color="auto" w:sz="4" w:space="0"/>
            </w:tcBorders>
            <w:tcMar>
              <w:left w:w="75" w:type="dxa"/>
            </w:tcMar>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分包</w:t>
            </w:r>
          </w:p>
        </w:tc>
        <w:tc>
          <w:tcPr>
            <w:tcW w:w="5659" w:type="dxa"/>
            <w:tcBorders>
              <w:top w:val="outset" w:color="auto" w:sz="6" w:space="0"/>
              <w:left w:val="single" w:color="auto" w:sz="4" w:space="0"/>
              <w:right w:val="outset" w:color="auto" w:sz="6" w:space="0"/>
            </w:tcBorders>
            <w:tcMar>
              <w:left w:w="75" w:type="dxa"/>
            </w:tcMar>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没有分包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096" w:type="dxa"/>
            <w:vMerge w:val="continue"/>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759" w:type="dxa"/>
            <w:tcBorders>
              <w:top w:val="single" w:color="auto" w:sz="4" w:space="0"/>
              <w:left w:val="single" w:color="auto" w:sz="4" w:space="0"/>
              <w:right w:val="single" w:color="auto" w:sz="4" w:space="0"/>
            </w:tcBorders>
            <w:tcMar>
              <w:left w:w="75" w:type="dxa"/>
            </w:tcMar>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报价</w:t>
            </w:r>
          </w:p>
        </w:tc>
        <w:tc>
          <w:tcPr>
            <w:tcW w:w="5659" w:type="dxa"/>
            <w:tcBorders>
              <w:top w:val="outset" w:color="auto" w:sz="6" w:space="0"/>
              <w:left w:val="single" w:color="auto" w:sz="4" w:space="0"/>
              <w:right w:val="outset" w:color="auto" w:sz="6" w:space="0"/>
            </w:tcBorders>
            <w:tcMar>
              <w:left w:w="75" w:type="dxa"/>
            </w:tcMar>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（1）报价未超过询比文件设定的最高限价。</w:t>
            </w:r>
          </w:p>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（2）已标价的报价清单总报价和报价函的报价一致（四舍五入除外）。</w:t>
            </w:r>
          </w:p>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（3）报价的大写数值能确定具体数值，未出现数量级错误、报价金额单位错误。</w:t>
            </w:r>
          </w:p>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（4）同一供应商未递交两个以上不同的报价。</w:t>
            </w:r>
          </w:p>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（5）供应商按采购人提供的书面报价清单填写了报价，且未修改报价清单说明、数量等实质性内容。</w:t>
            </w:r>
          </w:p>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（6）已标价报价清单中未更改询比文件确定的暂列金额。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096" w:type="dxa"/>
            <w:vMerge w:val="continue"/>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759" w:type="dxa"/>
            <w:tcMar>
              <w:left w:w="75" w:type="dxa"/>
            </w:tcMar>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其他实质性要求</w:t>
            </w:r>
          </w:p>
        </w:tc>
        <w:tc>
          <w:tcPr>
            <w:tcW w:w="5659" w:type="dxa"/>
            <w:tcMar>
              <w:left w:w="75" w:type="dxa"/>
            </w:tcMar>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符合询比文件的其他实质性要求和条件</w:t>
            </w:r>
          </w:p>
        </w:tc>
      </w:tr>
    </w:tbl>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bl>
      <w:tblPr>
        <w:tblStyle w:val="21"/>
        <w:tblW w:w="933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2"/>
        <w:gridCol w:w="1605"/>
        <w:gridCol w:w="1365"/>
        <w:gridCol w:w="52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67" w:type="dxa"/>
            <w:gridSpan w:val="2"/>
            <w:tcBorders>
              <w:top w:val="single" w:color="auto" w:sz="4" w:space="0"/>
              <w:bottom w:val="single" w:color="auto" w:sz="4" w:space="0"/>
              <w:right w:val="single" w:color="auto" w:sz="4" w:space="0"/>
            </w:tcBorders>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条款号</w:t>
            </w:r>
          </w:p>
        </w:tc>
        <w:tc>
          <w:tcPr>
            <w:tcW w:w="1365" w:type="dxa"/>
            <w:tcBorders>
              <w:top w:val="single" w:color="auto" w:sz="4" w:space="0"/>
              <w:left w:val="single" w:color="auto" w:sz="4" w:space="0"/>
              <w:bottom w:val="single" w:color="auto" w:sz="4" w:space="0"/>
              <w:right w:val="single" w:color="auto" w:sz="4" w:space="0"/>
            </w:tcBorders>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量化因素</w:t>
            </w:r>
          </w:p>
        </w:tc>
        <w:tc>
          <w:tcPr>
            <w:tcW w:w="5299" w:type="dxa"/>
            <w:tcBorders>
              <w:top w:val="single" w:color="auto" w:sz="4" w:space="0"/>
              <w:left w:val="single" w:color="auto" w:sz="4" w:space="0"/>
              <w:bottom w:val="single" w:color="auto" w:sz="4" w:space="0"/>
              <w:right w:val="single" w:color="auto" w:sz="4" w:space="0"/>
            </w:tcBorders>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量化标准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2" w:type="dxa"/>
            <w:tcBorders>
              <w:top w:val="single" w:color="auto" w:sz="4" w:space="0"/>
              <w:bottom w:val="single" w:color="auto" w:sz="4" w:space="0"/>
              <w:right w:val="single" w:color="auto" w:sz="4" w:space="0"/>
            </w:tcBorders>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2.2</w:t>
            </w:r>
          </w:p>
        </w:tc>
        <w:tc>
          <w:tcPr>
            <w:tcW w:w="1605" w:type="dxa"/>
            <w:tcBorders>
              <w:top w:val="single" w:color="auto" w:sz="4" w:space="0"/>
              <w:bottom w:val="single" w:color="auto" w:sz="4" w:space="0"/>
              <w:right w:val="single" w:color="auto" w:sz="4" w:space="0"/>
            </w:tcBorders>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详细评审标准</w:t>
            </w:r>
          </w:p>
        </w:tc>
        <w:tc>
          <w:tcPr>
            <w:tcW w:w="1365" w:type="dxa"/>
            <w:tcBorders>
              <w:top w:val="single" w:color="auto" w:sz="4" w:space="0"/>
              <w:left w:val="single" w:color="auto" w:sz="4" w:space="0"/>
              <w:bottom w:val="single" w:color="auto" w:sz="4" w:space="0"/>
              <w:right w:val="single" w:color="auto" w:sz="4" w:space="0"/>
            </w:tcBorders>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评审价计算</w:t>
            </w:r>
          </w:p>
        </w:tc>
        <w:tc>
          <w:tcPr>
            <w:tcW w:w="5299" w:type="dxa"/>
            <w:tcBorders>
              <w:top w:val="single" w:color="auto" w:sz="4" w:space="0"/>
              <w:left w:val="single" w:color="auto" w:sz="4" w:space="0"/>
              <w:bottom w:val="single" w:color="auto" w:sz="4" w:space="0"/>
              <w:right w:val="single" w:color="auto" w:sz="4" w:space="0"/>
            </w:tcBorders>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评审价＝报价函文字报价（大小写不一致时以大写为准）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31" w:type="dxa"/>
            <w:gridSpan w:val="4"/>
            <w:tcBorders>
              <w:top w:val="single" w:color="auto" w:sz="4" w:space="0"/>
              <w:bottom w:val="single" w:color="auto" w:sz="4" w:space="0"/>
              <w:right w:val="single" w:color="auto" w:sz="4" w:space="0"/>
            </w:tcBorders>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需要补充的其他内容：</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r>
    </w:tbl>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r>
        <w:rPr>
          <w:rFonts w:hint="eastAsia" w:ascii="仿宋_GB2312" w:hAnsi="仿宋_GB2312" w:eastAsia="仿宋_GB2312" w:cs="仿宋_GB2312"/>
          <w:sz w:val="28"/>
          <w:szCs w:val="28"/>
        </w:rPr>
        <w:t>1. 评审方法</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本次评审采用经评审的最低价法。评审小组对满足询比文件实质性要求的响应文件，按照评审价由低到高的顺序依次推荐成交候选人。如报价相同的，按照评审办法前附表中的规定确定成交候选人顺序。</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 评审标准</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2.1 初步评审标准</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2.1.1 形式评审标准：见评审办法前附表。</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2.1.2 资格评审标准：见评审办法前附表。</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2.1.3 响应性评审标准：见评审办法前附表。</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2.2 详细评审标准</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详细评审标准：见评审办法前附表。</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 评审程序</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3.1 初步评审</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评审小组依据本章第2.1.1项、第2.1.2项、第2.1.3项规定的标准对响应文件进行评审。有一项不符合评审标准的，评审小组应否决其响应文件。</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3.2 详细评审</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评审小组按本章第2.2款规定进行评审价排序。</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3.3 否决响应文件的其他情形</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评审小组应对在评审过程中发现供应商存在串通报价、弄虚作假、行贿等违法行为的，评审小组应否决其响应文件。</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3.4 响应文件的澄清和说明或补正</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3.4.1 在评审过程中，评审小组可以书面形式要求供应商对响应文件中含义不明确、对同类问题表述不一致或者有明显文字错误的内容做必要的澄清。评审小组不接受供应商主动提出的澄清。</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3.4.2 澄清不得超出响应文件的范围且不得改变响应文件的实质性内容，并构成响应文件的组成部分。</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3.5 评审结果</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评审小组完成评审后，应当向采购人提交评审报告。评审报告应当如实记载以下内容：</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137" w:name="_Toc12245_WPSOffice_Level2"/>
      <w:bookmarkStart w:id="138" w:name="_Toc218_WPSOffice_Level2"/>
      <w:bookmarkStart w:id="139" w:name="_Toc21524_WPSOffice_Level2"/>
      <w:r>
        <w:rPr>
          <w:rFonts w:hint="eastAsia" w:ascii="仿宋_GB2312" w:hAnsi="仿宋_GB2312" w:eastAsia="仿宋_GB2312" w:cs="仿宋_GB2312"/>
          <w:sz w:val="28"/>
          <w:szCs w:val="28"/>
        </w:rPr>
        <w:t>（一）采购项目基本情况</w:t>
      </w:r>
      <w:bookmarkEnd w:id="137"/>
      <w:bookmarkEnd w:id="138"/>
      <w:bookmarkEnd w:id="139"/>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140" w:name="_Toc31322_WPSOffice_Level2"/>
      <w:bookmarkStart w:id="141" w:name="_Toc8414_WPSOffice_Level2"/>
      <w:bookmarkStart w:id="142" w:name="_Toc5856_WPSOffice_Level2"/>
      <w:r>
        <w:rPr>
          <w:rFonts w:hint="eastAsia" w:ascii="仿宋_GB2312" w:hAnsi="仿宋_GB2312" w:eastAsia="仿宋_GB2312" w:cs="仿宋_GB2312"/>
          <w:sz w:val="28"/>
          <w:szCs w:val="28"/>
        </w:rPr>
        <w:t>（二）采购过程回顾</w:t>
      </w:r>
      <w:bookmarkEnd w:id="140"/>
      <w:bookmarkEnd w:id="141"/>
      <w:bookmarkEnd w:id="142"/>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143" w:name="_Toc2932_WPSOffice_Level2"/>
      <w:bookmarkStart w:id="144" w:name="_Toc15620_WPSOffice_Level2"/>
      <w:bookmarkStart w:id="145" w:name="_Toc1346_WPSOffice_Level2"/>
      <w:r>
        <w:rPr>
          <w:rFonts w:hint="eastAsia" w:ascii="仿宋_GB2312" w:hAnsi="仿宋_GB2312" w:eastAsia="仿宋_GB2312" w:cs="仿宋_GB2312"/>
          <w:sz w:val="28"/>
          <w:szCs w:val="28"/>
        </w:rPr>
        <w:t>（三）评审小组成员名单</w:t>
      </w:r>
      <w:bookmarkEnd w:id="143"/>
      <w:bookmarkEnd w:id="144"/>
      <w:bookmarkEnd w:id="145"/>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146" w:name="_Toc14464_WPSOffice_Level2"/>
      <w:bookmarkStart w:id="147" w:name="_Toc14207_WPSOffice_Level2"/>
      <w:bookmarkStart w:id="148" w:name="_Toc32316_WPSOffice_Level2"/>
      <w:r>
        <w:rPr>
          <w:rFonts w:hint="eastAsia" w:ascii="仿宋_GB2312" w:hAnsi="仿宋_GB2312" w:eastAsia="仿宋_GB2312" w:cs="仿宋_GB2312"/>
          <w:sz w:val="28"/>
          <w:szCs w:val="28"/>
        </w:rPr>
        <w:t>（四）询比评审工作</w:t>
      </w:r>
      <w:bookmarkEnd w:id="146"/>
      <w:bookmarkEnd w:id="147"/>
      <w:bookmarkEnd w:id="148"/>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1、评审办法</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2、初步评审情况（资格审查、形式性审查、响应性审查）</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3、详细评审情况（供应商的评审价评审情况）</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4、否决的供应商名单以及否决理由（如有）</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5、推荐候选供应商排序</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149" w:name="_Toc3913_WPSOffice_Level2"/>
      <w:bookmarkStart w:id="150" w:name="_Toc13397_WPSOffice_Level2"/>
      <w:bookmarkStart w:id="151" w:name="_Toc5114_WPSOffice_Level2"/>
      <w:r>
        <w:rPr>
          <w:rFonts w:hint="eastAsia" w:ascii="仿宋_GB2312" w:hAnsi="仿宋_GB2312" w:eastAsia="仿宋_GB2312" w:cs="仿宋_GB2312"/>
          <w:sz w:val="28"/>
          <w:szCs w:val="28"/>
        </w:rPr>
        <w:t>（五）需要说明的其他事项</w:t>
      </w:r>
      <w:bookmarkEnd w:id="149"/>
      <w:bookmarkEnd w:id="150"/>
      <w:bookmarkEnd w:id="151"/>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bookmarkStart w:id="152" w:name="_Toc12005"/>
      <w:bookmarkStart w:id="153" w:name="_Toc16698_WPSOffice_Level2"/>
      <w:bookmarkStart w:id="154" w:name="_Toc447808679"/>
    </w:p>
    <w:bookmarkEnd w:id="152"/>
    <w:bookmarkEnd w:id="153"/>
    <w:bookmarkEnd w:id="154"/>
    <w:p>
      <w:pPr>
        <w:pStyle w:val="20"/>
        <w:spacing w:line="360" w:lineRule="auto"/>
        <w:rPr>
          <w:rFonts w:ascii="宋体" w:hAnsi="宋体" w:cs="Times New Roman"/>
        </w:rPr>
      </w:pPr>
      <w:bookmarkStart w:id="155" w:name="_bookmark259"/>
      <w:bookmarkEnd w:id="155"/>
      <w:r>
        <w:rPr>
          <w:rFonts w:hint="eastAsia" w:ascii="宋体" w:hAnsi="宋体" w:cs="Times New Roman"/>
        </w:rPr>
        <w:t>第四章 合同内容</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156" w:name="_Toc30852_WPSOffice_Level1"/>
      <w:r>
        <w:rPr>
          <w:rFonts w:hint="eastAsia" w:ascii="仿宋_GB2312" w:hAnsi="仿宋_GB2312" w:eastAsia="仿宋_GB2312" w:cs="仿宋_GB2312"/>
          <w:sz w:val="28"/>
          <w:szCs w:val="28"/>
        </w:rPr>
        <w:t>1.项目信息</w:t>
      </w:r>
      <w:bookmarkEnd w:id="156"/>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1.1 项目名称：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1.2 项目内容：</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1.3 服务内容：</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157" w:name="_Toc2136_WPSOffice_Level1"/>
      <w:r>
        <w:rPr>
          <w:rFonts w:hint="eastAsia" w:ascii="仿宋_GB2312" w:hAnsi="仿宋_GB2312" w:eastAsia="仿宋_GB2312" w:cs="仿宋_GB2312"/>
          <w:sz w:val="28"/>
          <w:szCs w:val="28"/>
        </w:rPr>
        <w:t>2.合同金额及类别</w:t>
      </w:r>
      <w:bookmarkEnd w:id="157"/>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2.1 合同金额：</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2.2 合同类别：</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（总价/单价）</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158" w:name="_Toc4997_WPSOffice_Level1"/>
      <w:r>
        <w:rPr>
          <w:rFonts w:hint="eastAsia" w:ascii="仿宋_GB2312" w:hAnsi="仿宋_GB2312" w:eastAsia="仿宋_GB2312" w:cs="仿宋_GB2312"/>
          <w:sz w:val="28"/>
          <w:szCs w:val="28"/>
        </w:rPr>
        <w:t>3.履行合同的时间、地点及方式</w:t>
      </w:r>
      <w:bookmarkEnd w:id="158"/>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3.1 时间要求：</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3.2 地点：</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159" w:name="_Toc24437_WPSOffice_Level1"/>
      <w:r>
        <w:rPr>
          <w:rFonts w:hint="eastAsia" w:ascii="仿宋_GB2312" w:hAnsi="仿宋_GB2312" w:eastAsia="仿宋_GB2312" w:cs="仿宋_GB2312"/>
          <w:sz w:val="28"/>
          <w:szCs w:val="28"/>
        </w:rPr>
        <w:t>4.时间进度要求</w:t>
      </w:r>
      <w:bookmarkEnd w:id="159"/>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160" w:name="_Toc6898_WPSOffice_Level1"/>
      <w:r>
        <w:rPr>
          <w:rFonts w:hint="eastAsia" w:ascii="仿宋_GB2312" w:hAnsi="仿宋_GB2312" w:eastAsia="仿宋_GB2312" w:cs="仿宋_GB2312"/>
          <w:sz w:val="28"/>
          <w:szCs w:val="28"/>
        </w:rPr>
        <w:t>5.付款</w:t>
      </w:r>
      <w:bookmarkEnd w:id="160"/>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5.1 付款方式</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合同约定的服务期内，乙方每月初开具上月服务项目发票（6个点增值税专用发票），甲方自收到发票后10个工作日内转账 </w:t>
      </w:r>
      <w:r>
        <w:rPr>
          <w:rFonts w:hint="eastAsia" w:ascii="仿宋_GB2312" w:hAnsi="仿宋_GB2312" w:eastAsia="仿宋_GB2312" w:cs="仿宋_GB2312"/>
          <w:sz w:val="28"/>
          <w:szCs w:val="28"/>
        </w:rPr>
        <w:t>。</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5.2 乙方应向甲方开具增值税专用发票。</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161" w:name="_Toc4994_WPSOffice_Level1"/>
      <w:r>
        <w:rPr>
          <w:rFonts w:hint="eastAsia" w:ascii="仿宋_GB2312" w:hAnsi="仿宋_GB2312" w:eastAsia="仿宋_GB2312" w:cs="仿宋_GB2312"/>
          <w:sz w:val="28"/>
          <w:szCs w:val="28"/>
        </w:rPr>
        <w:t>6.履约担保</w:t>
      </w:r>
      <w:bookmarkEnd w:id="161"/>
      <w:r>
        <w:rPr>
          <w:rFonts w:hint="eastAsia" w:ascii="仿宋_GB2312" w:hAnsi="仿宋_GB2312" w:eastAsia="仿宋_GB2312" w:cs="仿宋_GB2312"/>
          <w:sz w:val="28"/>
          <w:szCs w:val="28"/>
        </w:rPr>
        <w:t>(履约担保退还方式）</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6.1 履约保证金的金额为5万元，履约保证金的形式为转账。</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乙方应按询比文件的规定，向甲方提交符合要求的履约担保。</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6.2 为取得履约担保所需的费用，由乙方自行负责。</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6.3服务合同到期后10个工作日内无息退还。</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162" w:name="_Toc724_WPSOffice_Level1"/>
      <w:r>
        <w:rPr>
          <w:rFonts w:hint="eastAsia" w:ascii="仿宋_GB2312" w:hAnsi="仿宋_GB2312" w:eastAsia="仿宋_GB2312" w:cs="仿宋_GB2312"/>
          <w:sz w:val="28"/>
          <w:szCs w:val="28"/>
        </w:rPr>
        <w:t>7.违约责任</w:t>
      </w:r>
      <w:bookmarkEnd w:id="162"/>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7.1 乙方不履行本合同义务或者履行义务不符合约定的，甲方有权要求乙方承担继续履行、赔偿损失或支付违约金等违约责任。</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7.2 因乙方提供的服务或成果资料质量低劣引起服务不合格或甲方不满的，给甲方造成损失时，乙方应继续完善服务工作及成果资料，并应赔偿甲方所遭受的损失。</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7.3 由于乙方原因造成服务不合格或延误的，乙方除负责采取补救措施外，应免收损失部分对应的合同价款，并应根据损失程度向甲方支付赔偿金。</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7.4 乙方未经甲方批准，擅自转让本项目服务工作的，应当向甲方支付合同价格</w:t>
      </w:r>
      <w:r>
        <w:rPr>
          <w:rFonts w:hint="eastAsia" w:ascii="仿宋_GB2312" w:hAnsi="仿宋_GB2312" w:eastAsia="仿宋_GB2312" w:cs="仿宋_GB2312"/>
          <w:sz w:val="28"/>
          <w:szCs w:val="28"/>
          <w:u w:val="single"/>
        </w:rPr>
        <w:t xml:space="preserve"> 5  </w:t>
      </w:r>
      <w:r>
        <w:rPr>
          <w:rFonts w:hint="eastAsia" w:ascii="仿宋_GB2312" w:hAnsi="仿宋_GB2312" w:eastAsia="仿宋_GB2312" w:cs="仿宋_GB2312"/>
          <w:sz w:val="28"/>
          <w:szCs w:val="28"/>
        </w:rPr>
        <w:t>%的违约金。</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7.5 乙方未按合同约定履行合同义务，经甲方合理催告在限定时间内仍未纠正的，甲方有权书面通知乙方终止合同；合同提前终止的，甲方有权拒绝支付任何费用，且乙方应向甲方支付相当于合同价格</w:t>
      </w:r>
      <w:r>
        <w:rPr>
          <w:rFonts w:hint="eastAsia" w:ascii="仿宋_GB2312" w:hAnsi="仿宋_GB2312" w:eastAsia="仿宋_GB2312" w:cs="仿宋_GB2312"/>
          <w:sz w:val="28"/>
          <w:szCs w:val="28"/>
          <w:u w:val="single"/>
        </w:rPr>
        <w:t xml:space="preserve">  5  </w:t>
      </w:r>
      <w:r>
        <w:rPr>
          <w:rFonts w:hint="eastAsia" w:ascii="仿宋_GB2312" w:hAnsi="仿宋_GB2312" w:eastAsia="仿宋_GB2312" w:cs="仿宋_GB2312"/>
          <w:sz w:val="28"/>
          <w:szCs w:val="28"/>
        </w:rPr>
        <w:t>%的违约金。</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7.6 乙方按合同约定应支付的违约金低于给甲方造成的损失的，还应就差额部分向甲方进行赔偿。</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163" w:name="_Toc1629_WPSOffice_Level1"/>
      <w:r>
        <w:rPr>
          <w:rFonts w:hint="eastAsia" w:ascii="仿宋_GB2312" w:hAnsi="仿宋_GB2312" w:eastAsia="仿宋_GB2312" w:cs="仿宋_GB2312"/>
          <w:sz w:val="28"/>
          <w:szCs w:val="28"/>
        </w:rPr>
        <w:t>8、甲方的权利和义务</w:t>
      </w:r>
      <w:bookmarkEnd w:id="163"/>
      <w:r>
        <w:rPr>
          <w:rFonts w:hint="eastAsia" w:ascii="仿宋_GB2312" w:hAnsi="仿宋_GB2312" w:eastAsia="仿宋_GB2312" w:cs="仿宋_GB2312"/>
          <w:sz w:val="28"/>
          <w:szCs w:val="28"/>
        </w:rPr>
        <w:t xml:space="preserve"> </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8.1 按合同约定向乙方支付费用。</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8.2 负责向乙方提供必要的资料及组织协调工作。</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8.3 对乙方的服务质量及时进行监督检查，对存在的问题要求乙方及时整改。</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164" w:name="_Toc26852_WPSOffice_Level1"/>
      <w:r>
        <w:rPr>
          <w:rFonts w:hint="eastAsia" w:ascii="仿宋_GB2312" w:hAnsi="仿宋_GB2312" w:eastAsia="仿宋_GB2312" w:cs="仿宋_GB2312"/>
          <w:sz w:val="28"/>
          <w:szCs w:val="28"/>
        </w:rPr>
        <w:t>9、乙方的权利和义务</w:t>
      </w:r>
      <w:bookmarkEnd w:id="164"/>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9.1 本着科学、严谨的工作态度，依据双方约定，为甲方提供相关服务，确保成果质量。</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9.2 乙方派驻的人员及设备应符合相关文件的要求。</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9.3 制定各种应急处置预案，能及时有效处置突发事件，确保服务过程中人员安全。</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9.4 询比文件“采购需求及清单”规定的其他内容。</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165" w:name="_Toc15894_WPSOffice_Level1"/>
      <w:r>
        <w:rPr>
          <w:rFonts w:hint="eastAsia" w:ascii="仿宋_GB2312" w:hAnsi="仿宋_GB2312" w:eastAsia="仿宋_GB2312" w:cs="仿宋_GB2312"/>
          <w:sz w:val="28"/>
          <w:szCs w:val="28"/>
        </w:rPr>
        <w:t>10.保密义务</w:t>
      </w:r>
      <w:bookmarkEnd w:id="165"/>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10.1 乙方及其工作人员应对服务过程及工作文件和在合同履行过程中了解到的涉及甲方商业秘密的资料以及其他尚未公开的有关信息承担保密义务，并采取相应的保密措施。应承担的保密义务包括但不限于： </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10.1.1 未经甲方书面同意，不得将上述工作文件、资料及信息披露给任何第三人；</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10.1.2 不得将上述工作文件、资料及信息用于本合同以外的其他目的；</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10.2 上述保密义务的期限至工作文件及相关资料或信息正式向社会公开之日或采购人书面解除乙方此合同项下保密义务之日止。</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10.3 乙方违反保密义务的，应承担一切法律责任并赔偿采购人因此遭受的全部损失。</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166" w:name="_Toc15263_WPSOffice_Level1"/>
      <w:r>
        <w:rPr>
          <w:rFonts w:hint="eastAsia" w:ascii="仿宋_GB2312" w:hAnsi="仿宋_GB2312" w:eastAsia="仿宋_GB2312" w:cs="仿宋_GB2312"/>
          <w:sz w:val="28"/>
          <w:szCs w:val="28"/>
        </w:rPr>
        <w:t>11、争议的解决</w:t>
      </w:r>
      <w:bookmarkEnd w:id="166"/>
      <w:r>
        <w:rPr>
          <w:rFonts w:hint="eastAsia" w:ascii="仿宋_GB2312" w:hAnsi="仿宋_GB2312" w:eastAsia="仿宋_GB2312" w:cs="仿宋_GB2312"/>
          <w:sz w:val="28"/>
          <w:szCs w:val="28"/>
        </w:rPr>
        <w:tab/>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本合同发生争议，由当事人双方协商解决。若经过协商仍不能达成一致时，则通过向甲方所在地人民法院诉讼解决纠纷。</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167" w:name="_Toc11316"/>
      <w:bookmarkStart w:id="168" w:name="_Toc152042547"/>
      <w:bookmarkStart w:id="169" w:name="_Toc152045768"/>
      <w:bookmarkStart w:id="170" w:name="_Toc14663"/>
      <w:bookmarkStart w:id="171" w:name="_Toc6271_WPSOffice_Level2"/>
      <w:bookmarkStart w:id="172" w:name="_Toc7456"/>
      <w:bookmarkStart w:id="173" w:name="_Toc21281"/>
      <w:bookmarkStart w:id="174" w:name="_Toc179632786"/>
      <w:bookmarkStart w:id="175" w:name="_Toc144974827"/>
      <w:r>
        <w:rPr>
          <w:rFonts w:hint="eastAsia" w:ascii="仿宋_GB2312" w:hAnsi="仿宋_GB2312" w:eastAsia="仿宋_GB2312" w:cs="仿宋_GB2312"/>
          <w:sz w:val="28"/>
          <w:szCs w:val="28"/>
        </w:rPr>
        <w:t>12、发包方根据实际情况，有权增加或者减少保洁、保安等人员数量，价格按投标价执行。</w:t>
      </w:r>
      <w:r>
        <w:rPr>
          <w:rFonts w:hint="eastAsia" w:ascii="仿宋_GB2312" w:hAnsi="仿宋_GB2312" w:eastAsia="仿宋_GB2312" w:cs="仿宋_GB2312"/>
          <w:sz w:val="28"/>
          <w:szCs w:val="28"/>
        </w:rPr>
        <w:br w:type="page"/>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b/>
          <w:bCs/>
          <w:sz w:val="28"/>
          <w:szCs w:val="28"/>
        </w:rPr>
      </w:pPr>
      <w:bookmarkStart w:id="176" w:name="_Toc12634_WPSOffice_Level1"/>
      <w:r>
        <w:rPr>
          <w:rFonts w:hint="eastAsia" w:ascii="仿宋_GB2312" w:hAnsi="仿宋_GB2312" w:eastAsia="仿宋_GB2312" w:cs="仿宋_GB2312"/>
          <w:b/>
          <w:bCs/>
          <w:sz w:val="28"/>
          <w:szCs w:val="28"/>
        </w:rPr>
        <w:t>附件一：合同协议书</w:t>
      </w:r>
      <w:bookmarkEnd w:id="167"/>
      <w:bookmarkEnd w:id="168"/>
      <w:bookmarkEnd w:id="169"/>
      <w:bookmarkEnd w:id="170"/>
      <w:bookmarkEnd w:id="171"/>
      <w:bookmarkEnd w:id="172"/>
      <w:bookmarkEnd w:id="173"/>
      <w:bookmarkEnd w:id="174"/>
      <w:bookmarkEnd w:id="175"/>
      <w:bookmarkEnd w:id="176"/>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本协议书由</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（下称“甲方”）为一方，与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（乙方全称）（下称“乙方”）为另一方于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日共同订立。</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鉴于甲方已委托乙方为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服务并已接受了乙方就此提出的报价，以明确双方在合同期间的义务、责任、权力和利益，兹就以下事项达成协议：</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 本协议书中的词句和用语与合同条款所规定的定义相同。</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 下列文件是本协议书的组成部分，应作为协议书的有效内容予以遵守和执行。</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（1）本合同协议书及各种合同附件；</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（2）成交通知书；</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（3）报价函；</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（4）合同条款；</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（5）采购需求；</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（6）已标价的报价清单；</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（7）构成本合同组成部分的其他文件。</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上述文件将互相补充，若有不明确或不一致之处，以上列次序在先者为准。</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 根据报价清单所列的预计数量和单价计算的签约合同价：人民币（大写（￥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 甲方在此同意按照本合同规定的期限和方式，向乙方支付根据合同规定应支付的费用和提供工作条件。</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 乙方基于甲方的上述保证，在此向甲方承诺按照本合同的规定履行相关服务。</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 本协议书在乙方提供履约担保后，由双方法定代表人或其委托代理人签署并加盖单位章后生效。全部工作完成并经甲方验收通过后失效。</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7. 本协议书正本二份、副本</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份，合同双方各执正本一份，副本</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份，当正本与副本的内容不一致时，以正本为准。</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8. 签订合同后，试用期3个月，如果服务不合格或达不到甲方服务标准和要求的，解除合同。合同未尽事宜，双方另行签订补充协议。补充协议是合同的组成部分。</w:t>
      </w:r>
    </w:p>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甲方：     (盖单位章)         乙方：        (盖单位章)</w:t>
      </w:r>
    </w:p>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法定代表人或其委托代理人：</w:t>
      </w:r>
      <w:r>
        <w:rPr>
          <w:rFonts w:hint="eastAsia" w:ascii="仿宋_GB2312" w:hAnsi="仿宋_GB2312" w:eastAsia="仿宋_GB2312" w:cs="仿宋_GB2312"/>
          <w:sz w:val="28"/>
          <w:szCs w:val="28"/>
          <w:u w:val="single"/>
        </w:rPr>
        <w:t>(签名)</w:t>
      </w:r>
      <w:r>
        <w:rPr>
          <w:rFonts w:hint="eastAsia" w:ascii="仿宋_GB2312" w:hAnsi="仿宋_GB2312" w:eastAsia="仿宋_GB2312" w:cs="仿宋_GB2312"/>
          <w:sz w:val="28"/>
          <w:szCs w:val="28"/>
        </w:rPr>
        <w:t xml:space="preserve">   法定代表人或其委托代理人：</w:t>
      </w:r>
      <w:r>
        <w:rPr>
          <w:rFonts w:hint="eastAsia" w:ascii="仿宋_GB2312" w:hAnsi="仿宋_GB2312" w:eastAsia="仿宋_GB2312" w:cs="仿宋_GB2312"/>
          <w:sz w:val="28"/>
          <w:szCs w:val="28"/>
          <w:u w:val="single"/>
        </w:rPr>
        <w:t>(签名)</w:t>
      </w:r>
    </w:p>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年     月    日                 年      月       日</w:t>
      </w:r>
    </w:p>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（签字）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（签字）</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b/>
          <w:bCs/>
          <w:sz w:val="28"/>
          <w:szCs w:val="28"/>
        </w:rPr>
      </w:pPr>
      <w:bookmarkStart w:id="177" w:name="_Toc26302_WPSOffice_Level2"/>
      <w:bookmarkStart w:id="178" w:name="_Toc17574"/>
      <w:bookmarkStart w:id="179" w:name="_Toc2101"/>
      <w:bookmarkStart w:id="180" w:name="_Toc19928"/>
      <w:bookmarkStart w:id="181" w:name="_Toc22922"/>
      <w:bookmarkStart w:id="182" w:name="_Toc5140_WPSOffice_Level1"/>
      <w:r>
        <w:rPr>
          <w:rFonts w:hint="eastAsia" w:ascii="仿宋_GB2312" w:hAnsi="仿宋_GB2312" w:eastAsia="仿宋_GB2312" w:cs="仿宋_GB2312"/>
          <w:b/>
          <w:bCs/>
          <w:sz w:val="28"/>
          <w:szCs w:val="28"/>
        </w:rPr>
        <w:t>附件二：项目负责人委任书</w:t>
      </w:r>
      <w:bookmarkEnd w:id="177"/>
      <w:bookmarkEnd w:id="178"/>
      <w:bookmarkEnd w:id="179"/>
      <w:bookmarkEnd w:id="180"/>
      <w:bookmarkEnd w:id="181"/>
      <w:r>
        <w:rPr>
          <w:rFonts w:hint="eastAsia" w:ascii="仿宋_GB2312" w:hAnsi="仿宋_GB2312" w:eastAsia="仿宋_GB2312" w:cs="仿宋_GB2312"/>
          <w:b/>
          <w:bCs/>
          <w:sz w:val="28"/>
          <w:szCs w:val="28"/>
        </w:rPr>
        <w:t>（如有）</w:t>
      </w:r>
      <w:bookmarkEnd w:id="182"/>
    </w:p>
    <w:p>
      <w:pPr>
        <w:pStyle w:val="18"/>
        <w:widowControl/>
        <w:shd w:val="clear" w:color="auto" w:fill="FFFFFF"/>
        <w:spacing w:beforeAutospacing="0" w:afterAutospacing="0" w:line="560" w:lineRule="exact"/>
        <w:ind w:firstLine="2800" w:firstLineChars="1000"/>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(乙方全称)</w:t>
      </w:r>
    </w:p>
    <w:p>
      <w:pPr>
        <w:pStyle w:val="18"/>
        <w:widowControl/>
        <w:shd w:val="clear" w:color="auto" w:fill="FFFFFF"/>
        <w:spacing w:beforeAutospacing="0" w:afterAutospacing="0" w:line="560" w:lineRule="exact"/>
        <w:ind w:firstLine="1960" w:firstLineChars="700"/>
        <w:jc w:val="left"/>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(合同项目名称)</w:t>
      </w:r>
      <w:r>
        <w:rPr>
          <w:rFonts w:hint="eastAsia" w:ascii="仿宋_GB2312" w:hAnsi="仿宋_GB2312" w:eastAsia="仿宋_GB2312" w:cs="仿宋_GB2312"/>
          <w:sz w:val="28"/>
          <w:szCs w:val="28"/>
        </w:rPr>
        <w:t xml:space="preserve"> 项目负责人委任书</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致：</w:t>
      </w:r>
      <w:r>
        <w:rPr>
          <w:rFonts w:hint="eastAsia" w:ascii="仿宋_GB2312" w:hAnsi="仿宋_GB2312" w:eastAsia="仿宋_GB2312" w:cs="仿宋_GB2312"/>
          <w:sz w:val="28"/>
          <w:szCs w:val="28"/>
          <w:u w:val="single"/>
        </w:rPr>
        <w:t>(甲方全称)</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(乙方全称) </w:t>
      </w:r>
      <w:r>
        <w:rPr>
          <w:rFonts w:hint="eastAsia" w:ascii="仿宋_GB2312" w:hAnsi="仿宋_GB2312" w:eastAsia="仿宋_GB2312" w:cs="仿宋_GB2312"/>
          <w:sz w:val="28"/>
          <w:szCs w:val="28"/>
        </w:rPr>
        <w:t xml:space="preserve">法定代表人 </w:t>
      </w:r>
      <w:r>
        <w:rPr>
          <w:rFonts w:hint="eastAsia" w:ascii="仿宋_GB2312" w:hAnsi="仿宋_GB2312" w:eastAsia="仿宋_GB2312" w:cs="仿宋_GB2312"/>
          <w:sz w:val="28"/>
          <w:szCs w:val="28"/>
          <w:u w:val="single"/>
        </w:rPr>
        <w:t xml:space="preserve">(职务、姓名) </w:t>
      </w:r>
      <w:r>
        <w:rPr>
          <w:rFonts w:hint="eastAsia" w:ascii="仿宋_GB2312" w:hAnsi="仿宋_GB2312" w:eastAsia="仿宋_GB2312" w:cs="仿宋_GB2312"/>
          <w:sz w:val="28"/>
          <w:szCs w:val="28"/>
        </w:rPr>
        <w:t xml:space="preserve">代表本单位委任 </w:t>
      </w:r>
      <w:r>
        <w:rPr>
          <w:rFonts w:hint="eastAsia" w:ascii="仿宋_GB2312" w:hAnsi="仿宋_GB2312" w:eastAsia="仿宋_GB2312" w:cs="仿宋_GB2312"/>
          <w:sz w:val="28"/>
          <w:szCs w:val="28"/>
          <w:u w:val="single"/>
        </w:rPr>
        <w:t>(职务、姓名)</w:t>
      </w:r>
      <w:r>
        <w:rPr>
          <w:rFonts w:hint="eastAsia" w:ascii="仿宋_GB2312" w:hAnsi="仿宋_GB2312" w:eastAsia="仿宋_GB2312" w:cs="仿宋_GB2312"/>
          <w:sz w:val="28"/>
          <w:szCs w:val="28"/>
        </w:rPr>
        <w:t xml:space="preserve"> 为</w:t>
      </w:r>
      <w:r>
        <w:rPr>
          <w:rFonts w:hint="eastAsia" w:ascii="仿宋_GB2312" w:hAnsi="仿宋_GB2312" w:eastAsia="仿宋_GB2312" w:cs="仿宋_GB2312"/>
          <w:sz w:val="28"/>
          <w:szCs w:val="28"/>
          <w:u w:val="single"/>
        </w:rPr>
        <w:t>(合同项目名称)</w:t>
      </w:r>
      <w:r>
        <w:rPr>
          <w:rFonts w:hint="eastAsia" w:ascii="仿宋_GB2312" w:hAnsi="仿宋_GB2312" w:eastAsia="仿宋_GB2312" w:cs="仿宋_GB2312"/>
          <w:sz w:val="28"/>
          <w:szCs w:val="28"/>
        </w:rPr>
        <w:t xml:space="preserve">的项目负责人。凡本合同执行中的有关进度、服务质量、结算与支付等方面工作，由 </w:t>
      </w:r>
      <w:r>
        <w:rPr>
          <w:rFonts w:hint="eastAsia" w:ascii="仿宋_GB2312" w:hAnsi="仿宋_GB2312" w:eastAsia="仿宋_GB2312" w:cs="仿宋_GB2312"/>
          <w:sz w:val="28"/>
          <w:szCs w:val="28"/>
          <w:u w:val="single"/>
        </w:rPr>
        <w:t xml:space="preserve"> (姓名)</w:t>
      </w:r>
      <w:r>
        <w:rPr>
          <w:rFonts w:hint="eastAsia" w:ascii="仿宋_GB2312" w:hAnsi="仿宋_GB2312" w:eastAsia="仿宋_GB2312" w:cs="仿宋_GB2312"/>
          <w:sz w:val="28"/>
          <w:szCs w:val="28"/>
        </w:rPr>
        <w:t xml:space="preserve"> 代表本单位全面负责。</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乙方：</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(盖单位章)</w:t>
      </w:r>
    </w:p>
    <w:p>
      <w:pPr>
        <w:pStyle w:val="18"/>
        <w:widowControl/>
        <w:shd w:val="clear" w:color="auto" w:fill="FFFFFF"/>
        <w:spacing w:beforeAutospacing="0" w:afterAutospacing="0" w:line="560" w:lineRule="exact"/>
        <w:ind w:firstLine="4480" w:firstLineChars="16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(职务)   </w:t>
      </w:r>
    </w:p>
    <w:p>
      <w:pPr>
        <w:pStyle w:val="18"/>
        <w:widowControl/>
        <w:shd w:val="clear" w:color="auto" w:fill="FFFFFF"/>
        <w:spacing w:beforeAutospacing="0" w:afterAutospacing="0" w:line="560" w:lineRule="exact"/>
        <w:ind w:left="5038" w:leftChars="266" w:hanging="4480" w:hangingChars="16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(姓名)   </w:t>
      </w:r>
    </w:p>
    <w:p>
      <w:pPr>
        <w:pStyle w:val="18"/>
        <w:widowControl/>
        <w:shd w:val="clear" w:color="auto" w:fill="FFFFFF"/>
        <w:spacing w:beforeAutospacing="0" w:afterAutospacing="0" w:line="560" w:lineRule="exact"/>
        <w:ind w:left="5878" w:leftChars="266" w:hanging="5320" w:hangingChars="19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(签名)   </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年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月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pStyle w:val="18"/>
        <w:widowControl/>
        <w:shd w:val="clear" w:color="auto" w:fill="FFFFFF"/>
        <w:spacing w:beforeAutospacing="0" w:afterAutospacing="0" w:line="560" w:lineRule="exact"/>
        <w:ind w:firstLine="1320" w:firstLineChars="300"/>
        <w:jc w:val="left"/>
        <w:rPr>
          <w:rFonts w:ascii="方正小标宋简体" w:hAnsi="方正小标宋简体" w:eastAsia="方正小标宋简体" w:cs="方正小标宋简体"/>
          <w:sz w:val="44"/>
          <w:szCs w:val="44"/>
        </w:rPr>
      </w:pPr>
      <w:bookmarkStart w:id="183" w:name="_Toc14756_WPSOffice_Level1"/>
      <w:r>
        <w:rPr>
          <w:rFonts w:hint="eastAsia" w:ascii="方正小标宋简体" w:hAnsi="方正小标宋简体" w:eastAsia="方正小标宋简体" w:cs="方正小标宋简体"/>
          <w:sz w:val="44"/>
          <w:szCs w:val="44"/>
        </w:rPr>
        <w:t>第五章 采购需求及清单</w:t>
      </w:r>
      <w:bookmarkEnd w:id="183"/>
    </w:p>
    <w:p>
      <w:pPr>
        <w:pStyle w:val="18"/>
        <w:widowControl/>
        <w:shd w:val="clear" w:color="auto" w:fill="FFFFFF"/>
        <w:spacing w:before="156" w:beforeLines="50" w:beforeAutospacing="0" w:after="156" w:afterLines="50" w:afterAutospacing="0" w:line="560" w:lineRule="exact"/>
        <w:ind w:firstLine="560" w:firstLineChars="200"/>
        <w:jc w:val="left"/>
        <w:rPr>
          <w:rFonts w:ascii="仿宋_GB2312" w:hAnsi="仿宋_GB2312" w:eastAsia="仿宋_GB2312" w:cs="仿宋_GB2312"/>
          <w:b/>
          <w:sz w:val="28"/>
          <w:szCs w:val="28"/>
        </w:rPr>
      </w:pPr>
      <w:bookmarkStart w:id="184" w:name="_Toc10970_WPSOffice_Level1"/>
      <w:bookmarkStart w:id="185" w:name="_Toc28814_WPSOffice_Level2"/>
      <w:r>
        <w:rPr>
          <w:rFonts w:hint="eastAsia" w:ascii="仿宋_GB2312" w:hAnsi="仿宋_GB2312" w:eastAsia="仿宋_GB2312" w:cs="仿宋_GB2312"/>
          <w:b/>
          <w:sz w:val="28"/>
          <w:szCs w:val="28"/>
        </w:rPr>
        <w:t>工作任务书及委托人要求</w:t>
      </w:r>
      <w:bookmarkEnd w:id="184"/>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园区所辖范围内进行安保服务、保洁服务，范围如下：</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（一）物业保洁服务内容及范围：</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1.每天要彻底清扫安徽迅捷物流肥东有限责任公司园区门口、园区道路、月台、绿化带、公共卫生间等区域，垃圾及时清理。</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2.安徽迅捷物流肥东有限责任公司办公区域的地面、办公区域公共通道、公共卫生间清扫；楼梯扶手及时清扫、擦拭。</w:t>
      </w:r>
      <w:bookmarkStart w:id="186" w:name="OLE_LINK1"/>
    </w:p>
    <w:bookmarkEnd w:id="186"/>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3.完成安徽迅捷物流肥东有限责任园区内的所有垃圾收集及每日经常性清洁工作。</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4.绿化养护：</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范围：园区约1.1万平方米草坪绿地、树木；约150个隔离花箱。</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内容：负责园区所有绿化草坪及隔离花箱的养护管理；需保证草坪草生长旺盛，高度一致，边缘整齐、雅观，无明显坑洼积水。养护过程所需要的生产资料：如化肥、农药等均由中标的服务公司提供。负责区域内的绿植因中标单位养护不到位导致枯死，挖除及重栽复原的一切费用由中标的服务公司承担。</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5.根据需要完成其他增设服务项目。</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（二）物业保安服务内容及范围：</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1.负责安徽迅捷物流肥东有限责任公司园区24小时安全保卫工作。</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2.保安人员要按照职责坚持门岗执勤，做好门禁管理，交接班要准时并做好交接班记录，加强园区的日常巡视和监控，保证物业安全。</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3.对外来办事人员要进行人员登记、记录和引导，懂得礼仪知识，讲究文明礼貌。</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4.园区车辆要排列整齐，随时指导车辆停放位置，督促车辆锁闭情况，检查库区的安全，严防偷盗和交通事故的发生。</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5.严防刑事案件和治安事件的发生，随时处理紧急情况和制止突发事件，维护工作秩序，确保正常办公。</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6.根据需要完成其他增设服务项目。</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（三）物业帮厨服务内容范围及要求：</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1.食堂台面、地面、桌椅等干净卫生，无油腻。</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2.菜品要清洗干净，餐具洗净后放入消毒柜消毒。</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3.根据需要完成其他增设服务项目。</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（四）综合服务要求：</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1.以上服务内容应达到本项目公共管理制度、安徽迅捷物流肥东有限责任公司相关管理制度及国家有关法律、法规的要求；</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2.根据需要增设其他服务项目；</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3.所有进驻本物业的人员须经过岗前培训，并达到以下基本上岗要求：遵守国家有关法律、法规，历史清楚、无违法行为记录证明，有担保人；</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4.中标公司进入现场工作后，必须积极配合本项目的各项物业工作,现场人员能够服从本项目管理人员的管理。如遇到特殊事情发生需物业人员配合工作，物业服务人员将根据要求积极完成工作任务；</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5.中标物业服务人员盗窃货物、财物，除对中标方进行2倍罚款外，中标方必须把偷盗人员清除出物业服务队伍，情节严重的，移交公安机关处理；</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中标方负责组织物业服务队伍，确保保安队长为男性，年龄在40周岁以下，大专及以上学历，为供应商单位正式员工（须提供近一年的社保证明材料），具有全国物业管理企业经理证、安全管理员证书及人社部门颁发的二级保安师证书。其他服务人员年龄在18-55周岁之间，身体健康、无残疾并经过专业培训的人员组成，物业服务人员在工作期间发生的一切人身意外伤亡均由中标单位自行承担；中标方项目经理或保安队长需提供物业管理证、安全员证和保安证。</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7.中标方负责按国家相关法律法规与物业服务人员签订劳动用工合同，并购买意外保险，统一着装，持证上岗；</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8.中标方负责给物业服务配备保安队长一名，队长要全面服从所服务公司的管理及要求。</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187" w:name="_Toc8332_WPSOffice_Level1"/>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156" w:beforeLines="50" w:beforeAutospacing="0" w:after="156" w:afterLines="50" w:afterAutospacing="0" w:line="560" w:lineRule="exact"/>
        <w:jc w:val="left"/>
        <w:rPr>
          <w:rFonts w:ascii="仿宋_GB2312" w:hAnsi="仿宋_GB2312" w:eastAsia="仿宋_GB2312" w:cs="仿宋_GB2312"/>
          <w:b/>
          <w:sz w:val="28"/>
          <w:szCs w:val="28"/>
        </w:rPr>
      </w:pPr>
    </w:p>
    <w:p>
      <w:pPr>
        <w:pStyle w:val="18"/>
        <w:widowControl/>
        <w:shd w:val="clear" w:color="auto" w:fill="FFFFFF"/>
        <w:spacing w:before="156" w:beforeLines="50" w:beforeAutospacing="0" w:after="156" w:afterLines="50" w:afterAutospacing="0" w:line="560" w:lineRule="exact"/>
        <w:jc w:val="left"/>
        <w:rPr>
          <w:rFonts w:ascii="仿宋_GB2312" w:hAnsi="仿宋_GB2312" w:eastAsia="仿宋_GB2312" w:cs="仿宋_GB2312"/>
          <w:b/>
          <w:sz w:val="28"/>
          <w:szCs w:val="28"/>
        </w:rPr>
      </w:pPr>
    </w:p>
    <w:bookmarkEnd w:id="187"/>
    <w:p>
      <w:pPr>
        <w:pStyle w:val="18"/>
        <w:widowControl/>
        <w:shd w:val="clear" w:color="auto" w:fill="FFFFFF"/>
        <w:spacing w:before="156" w:beforeLines="50" w:beforeAutospacing="0" w:after="156" w:afterLines="50" w:afterAutospacing="0" w:line="560" w:lineRule="exact"/>
        <w:ind w:firstLine="560" w:firstLineChars="200"/>
        <w:jc w:val="center"/>
        <w:rPr>
          <w:rFonts w:ascii="仿宋_GB2312" w:hAnsi="仿宋_GB2312" w:eastAsia="仿宋_GB2312" w:cs="仿宋_GB2312"/>
          <w:b/>
          <w:sz w:val="28"/>
          <w:szCs w:val="28"/>
        </w:rPr>
      </w:pPr>
      <w:bookmarkStart w:id="188" w:name="_Toc8777_WPSOffice_Level1"/>
      <w:r>
        <w:rPr>
          <w:rFonts w:hint="eastAsia" w:ascii="仿宋_GB2312" w:hAnsi="仿宋_GB2312" w:eastAsia="仿宋_GB2312" w:cs="仿宋_GB2312"/>
          <w:b/>
          <w:sz w:val="28"/>
          <w:szCs w:val="28"/>
        </w:rPr>
        <w:t>报价清单</w:t>
      </w:r>
      <w:bookmarkEnd w:id="185"/>
      <w:bookmarkEnd w:id="188"/>
    </w:p>
    <w:tbl>
      <w:tblPr>
        <w:tblStyle w:val="22"/>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1"/>
        <w:gridCol w:w="1635"/>
        <w:gridCol w:w="1166"/>
        <w:gridCol w:w="1624"/>
        <w:gridCol w:w="1941"/>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jc w:val="center"/>
        </w:trPr>
        <w:tc>
          <w:tcPr>
            <w:tcW w:w="1311" w:type="dxa"/>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服务内容</w:t>
            </w:r>
          </w:p>
        </w:tc>
        <w:tc>
          <w:tcPr>
            <w:tcW w:w="1635" w:type="dxa"/>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服务单价</w:t>
            </w:r>
          </w:p>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（含税）</w:t>
            </w:r>
          </w:p>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元/人/月</w:t>
            </w:r>
          </w:p>
        </w:tc>
        <w:tc>
          <w:tcPr>
            <w:tcW w:w="1166" w:type="dxa"/>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人  数</w:t>
            </w:r>
          </w:p>
        </w:tc>
        <w:tc>
          <w:tcPr>
            <w:tcW w:w="1624" w:type="dxa"/>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月度合计</w:t>
            </w:r>
          </w:p>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（含税）</w:t>
            </w:r>
          </w:p>
        </w:tc>
        <w:tc>
          <w:tcPr>
            <w:tcW w:w="1941" w:type="dxa"/>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年度合计</w:t>
            </w:r>
          </w:p>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（含税）</w:t>
            </w:r>
          </w:p>
        </w:tc>
        <w:tc>
          <w:tcPr>
            <w:tcW w:w="1380" w:type="dxa"/>
            <w:vAlign w:val="center"/>
          </w:tcPr>
          <w:p>
            <w:pPr>
              <w:pStyle w:val="18"/>
              <w:widowControl/>
              <w:shd w:val="clear" w:color="auto" w:fill="FFFFFF"/>
              <w:spacing w:beforeAutospacing="0" w:afterAutospacing="0" w:line="560" w:lineRule="exact"/>
              <w:ind w:firstLine="280" w:firstLineChars="1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311" w:type="dxa"/>
            <w:vMerge w:val="restart"/>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安保服务</w:t>
            </w:r>
          </w:p>
        </w:tc>
        <w:tc>
          <w:tcPr>
            <w:tcW w:w="1635" w:type="dxa"/>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166" w:type="dxa"/>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保安队长1人</w:t>
            </w:r>
          </w:p>
        </w:tc>
        <w:tc>
          <w:tcPr>
            <w:tcW w:w="1624" w:type="dxa"/>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941" w:type="dxa"/>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380" w:type="dxa"/>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311" w:type="dxa"/>
            <w:vMerge w:val="continue"/>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p>
        </w:tc>
        <w:tc>
          <w:tcPr>
            <w:tcW w:w="1635" w:type="dxa"/>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166" w:type="dxa"/>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保安队员5人</w:t>
            </w:r>
          </w:p>
        </w:tc>
        <w:tc>
          <w:tcPr>
            <w:tcW w:w="1624" w:type="dxa"/>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941" w:type="dxa"/>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380" w:type="dxa"/>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311" w:type="dxa"/>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保洁服务</w:t>
            </w:r>
          </w:p>
        </w:tc>
        <w:tc>
          <w:tcPr>
            <w:tcW w:w="1635" w:type="dxa"/>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166" w:type="dxa"/>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5人（含帮厨1人）</w:t>
            </w:r>
          </w:p>
        </w:tc>
        <w:tc>
          <w:tcPr>
            <w:tcW w:w="1624" w:type="dxa"/>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941" w:type="dxa"/>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380" w:type="dxa"/>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311" w:type="dxa"/>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绿化服务</w:t>
            </w:r>
          </w:p>
        </w:tc>
        <w:tc>
          <w:tcPr>
            <w:tcW w:w="1635" w:type="dxa"/>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166" w:type="dxa"/>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p>
        </w:tc>
        <w:tc>
          <w:tcPr>
            <w:tcW w:w="1624" w:type="dxa"/>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941" w:type="dxa"/>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380" w:type="dxa"/>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jc w:val="center"/>
        </w:trPr>
        <w:tc>
          <w:tcPr>
            <w:tcW w:w="1311" w:type="dxa"/>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备注</w:t>
            </w:r>
          </w:p>
        </w:tc>
        <w:tc>
          <w:tcPr>
            <w:tcW w:w="7746" w:type="dxa"/>
            <w:gridSpan w:val="5"/>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1.本项目服务人员限定：保安6人（含队长1人）、保洁5人（含兼职绿化维护，1人专职食堂帮厨）。</w:t>
            </w:r>
          </w:p>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2.服务单价是指竞价方每月应收取的服务费用。</w:t>
            </w:r>
          </w:p>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3.服务单价包括但不限定于服务人员工资、社保、意外伤害险、加班费等。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311" w:type="dxa"/>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报价单位</w:t>
            </w:r>
          </w:p>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盖章</w:t>
            </w:r>
          </w:p>
        </w:tc>
        <w:tc>
          <w:tcPr>
            <w:tcW w:w="7746" w:type="dxa"/>
            <w:gridSpan w:val="5"/>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r>
    </w:tbl>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pStyle w:val="18"/>
        <w:widowControl/>
        <w:shd w:val="clear" w:color="auto" w:fill="FFFFFF"/>
        <w:spacing w:beforeAutospacing="0" w:afterAutospacing="0" w:line="560" w:lineRule="exact"/>
        <w:ind w:firstLine="1760" w:firstLineChars="400"/>
        <w:jc w:val="left"/>
        <w:rPr>
          <w:rFonts w:ascii="方正小标宋简体" w:hAnsi="方正小标宋简体" w:eastAsia="方正小标宋简体" w:cs="方正小标宋简体"/>
          <w:sz w:val="44"/>
          <w:szCs w:val="44"/>
        </w:rPr>
      </w:pPr>
      <w:bookmarkStart w:id="189" w:name="_Toc24739_WPSOffice_Level1"/>
      <w:r>
        <w:rPr>
          <w:rFonts w:hint="eastAsia" w:ascii="方正小标宋简体" w:hAnsi="方正小标宋简体" w:eastAsia="方正小标宋简体" w:cs="方正小标宋简体"/>
          <w:sz w:val="44"/>
          <w:szCs w:val="44"/>
        </w:rPr>
        <w:t>第六章 响应文件格式</w:t>
      </w:r>
      <w:bookmarkEnd w:id="189"/>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b/>
          <w:bCs/>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bCs/>
          <w:sz w:val="28"/>
          <w:szCs w:val="28"/>
        </w:rPr>
        <w:t xml:space="preserve"> </w:t>
      </w:r>
      <w:r>
        <w:rPr>
          <w:rFonts w:hint="eastAsia" w:ascii="仿宋_GB2312" w:hAnsi="仿宋_GB2312" w:eastAsia="仿宋_GB2312" w:cs="仿宋_GB2312"/>
          <w:b/>
          <w:bCs/>
          <w:sz w:val="28"/>
          <w:szCs w:val="28"/>
          <w:u w:val="single"/>
        </w:rPr>
        <w:t xml:space="preserve">             </w:t>
      </w:r>
      <w:r>
        <w:rPr>
          <w:rFonts w:hint="eastAsia" w:ascii="仿宋_GB2312" w:hAnsi="仿宋_GB2312" w:eastAsia="仿宋_GB2312" w:cs="仿宋_GB2312"/>
          <w:b/>
          <w:bCs/>
          <w:sz w:val="28"/>
          <w:szCs w:val="28"/>
        </w:rPr>
        <w:t>(项目名称)询比</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 </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b/>
          <w:bCs/>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b/>
          <w:bCs/>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b/>
          <w:bCs/>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b/>
          <w:bCs/>
          <w:sz w:val="28"/>
          <w:szCs w:val="28"/>
        </w:rPr>
      </w:pPr>
    </w:p>
    <w:p>
      <w:pPr>
        <w:pStyle w:val="18"/>
        <w:widowControl/>
        <w:shd w:val="clear" w:color="auto" w:fill="FFFFFF"/>
        <w:spacing w:beforeAutospacing="0" w:afterAutospacing="0" w:line="560" w:lineRule="exact"/>
        <w:ind w:firstLine="2200" w:firstLineChars="500"/>
        <w:jc w:val="left"/>
        <w:rPr>
          <w:rFonts w:ascii="仿宋_GB2312" w:hAnsi="仿宋_GB2312" w:eastAsia="仿宋_GB2312" w:cs="仿宋_GB2312"/>
          <w:b/>
          <w:bCs/>
          <w:sz w:val="44"/>
          <w:szCs w:val="44"/>
        </w:rPr>
      </w:pPr>
      <w:bookmarkStart w:id="190" w:name="_Toc1914_WPSOffice_Level1"/>
      <w:bookmarkStart w:id="191" w:name="_Toc14496_WPSOffice_Level1"/>
      <w:bookmarkStart w:id="192" w:name="_Toc17394_WPSOffice_Level1"/>
      <w:bookmarkStart w:id="193" w:name="_Toc27552_WPSOffice_Level1"/>
      <w:r>
        <w:rPr>
          <w:rFonts w:hint="eastAsia" w:ascii="仿宋_GB2312" w:hAnsi="仿宋_GB2312" w:eastAsia="仿宋_GB2312" w:cs="仿宋_GB2312"/>
          <w:b/>
          <w:bCs/>
          <w:sz w:val="44"/>
          <w:szCs w:val="44"/>
        </w:rPr>
        <w:t>响  应  文  件</w:t>
      </w:r>
      <w:bookmarkEnd w:id="190"/>
      <w:bookmarkEnd w:id="191"/>
      <w:bookmarkEnd w:id="192"/>
      <w:bookmarkEnd w:id="193"/>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b/>
          <w:bCs/>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b/>
          <w:bCs/>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b/>
          <w:bCs/>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b/>
          <w:bCs/>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b/>
          <w:bCs/>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b/>
          <w:bCs/>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b/>
          <w:bCs/>
          <w:sz w:val="28"/>
          <w:szCs w:val="28"/>
        </w:rPr>
      </w:pPr>
    </w:p>
    <w:p>
      <w:pPr>
        <w:pStyle w:val="18"/>
        <w:widowControl/>
        <w:shd w:val="clear" w:color="auto" w:fill="FFFFFF"/>
        <w:spacing w:beforeAutospacing="0" w:afterAutospacing="0" w:line="560" w:lineRule="exact"/>
        <w:ind w:firstLine="1680" w:firstLineChars="600"/>
        <w:jc w:val="left"/>
        <w:rPr>
          <w:rFonts w:ascii="仿宋_GB2312" w:hAnsi="仿宋_GB2312" w:eastAsia="仿宋_GB2312" w:cs="仿宋_GB2312"/>
          <w:b/>
          <w:bCs/>
          <w:sz w:val="28"/>
          <w:szCs w:val="28"/>
        </w:rPr>
      </w:pPr>
      <w:bookmarkStart w:id="194" w:name="_Toc25232_WPSOffice_Level2"/>
      <w:bookmarkStart w:id="195" w:name="_Toc5520_WPSOffice_Level2"/>
      <w:r>
        <w:rPr>
          <w:rFonts w:hint="eastAsia" w:ascii="仿宋_GB2312" w:hAnsi="仿宋_GB2312" w:eastAsia="仿宋_GB2312" w:cs="仿宋_GB2312"/>
          <w:b/>
          <w:bCs/>
          <w:sz w:val="28"/>
          <w:szCs w:val="28"/>
        </w:rPr>
        <w:t>供应商：</w:t>
      </w:r>
      <w:r>
        <w:rPr>
          <w:rFonts w:hint="eastAsia" w:ascii="仿宋_GB2312" w:hAnsi="仿宋_GB2312" w:eastAsia="仿宋_GB2312" w:cs="仿宋_GB2312"/>
          <w:b/>
          <w:bCs/>
          <w:sz w:val="28"/>
          <w:szCs w:val="28"/>
          <w:u w:val="single"/>
        </w:rPr>
        <w:t xml:space="preserve">       (全称、盖单位章)</w:t>
      </w:r>
      <w:bookmarkEnd w:id="194"/>
      <w:bookmarkEnd w:id="195"/>
      <w:r>
        <w:rPr>
          <w:rFonts w:hint="eastAsia" w:ascii="仿宋_GB2312" w:hAnsi="仿宋_GB2312" w:eastAsia="仿宋_GB2312" w:cs="仿宋_GB2312"/>
          <w:b/>
          <w:bCs/>
          <w:sz w:val="28"/>
          <w:szCs w:val="28"/>
          <w:u w:val="single"/>
        </w:rPr>
        <w:t xml:space="preserve">     </w:t>
      </w:r>
      <w:r>
        <w:rPr>
          <w:rFonts w:hint="eastAsia" w:ascii="仿宋_GB2312" w:hAnsi="仿宋_GB2312" w:eastAsia="仿宋_GB2312" w:cs="仿宋_GB2312"/>
          <w:b/>
          <w:bCs/>
          <w:sz w:val="28"/>
          <w:szCs w:val="28"/>
        </w:rPr>
        <w:t xml:space="preserve">      </w:t>
      </w:r>
    </w:p>
    <w:p>
      <w:pPr>
        <w:pStyle w:val="18"/>
        <w:widowControl/>
        <w:shd w:val="clear" w:color="auto" w:fill="FFFFFF"/>
        <w:spacing w:beforeAutospacing="0" w:afterAutospacing="0" w:line="560" w:lineRule="exact"/>
        <w:rPr>
          <w:rFonts w:ascii="仿宋_GB2312" w:hAnsi="仿宋_GB2312" w:eastAsia="仿宋_GB2312" w:cs="仿宋_GB2312"/>
          <w:b/>
          <w:bCs/>
          <w:sz w:val="28"/>
          <w:szCs w:val="28"/>
        </w:rPr>
      </w:pPr>
    </w:p>
    <w:p>
      <w:pPr>
        <w:pStyle w:val="18"/>
        <w:widowControl/>
        <w:shd w:val="clear" w:color="auto" w:fill="FFFFFF"/>
        <w:spacing w:beforeAutospacing="0" w:afterAutospacing="0" w:line="560" w:lineRule="exact"/>
        <w:ind w:firstLine="2240" w:firstLineChars="8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  </w:t>
      </w:r>
      <w:r>
        <w:rPr>
          <w:rFonts w:hint="eastAsia" w:ascii="仿宋_GB2312" w:hAnsi="仿宋_GB2312" w:eastAsia="仿宋_GB2312" w:cs="仿宋_GB2312"/>
          <w:b/>
          <w:bCs/>
          <w:sz w:val="28"/>
          <w:szCs w:val="28"/>
          <w:u w:val="single"/>
        </w:rPr>
        <w:t xml:space="preserve">  </w:t>
      </w:r>
      <w:bookmarkStart w:id="196" w:name="_Toc31577_WPSOffice_Level2"/>
      <w:bookmarkStart w:id="197" w:name="_Toc20076_WPSOffice_Level2"/>
      <w:r>
        <w:rPr>
          <w:rFonts w:hint="eastAsia" w:ascii="仿宋_GB2312" w:hAnsi="仿宋_GB2312" w:eastAsia="仿宋_GB2312" w:cs="仿宋_GB2312"/>
          <w:b/>
          <w:bCs/>
          <w:sz w:val="28"/>
          <w:szCs w:val="28"/>
          <w:u w:val="single"/>
        </w:rPr>
        <w:t xml:space="preserve">    </w:t>
      </w:r>
      <w:r>
        <w:rPr>
          <w:rFonts w:hint="eastAsia" w:ascii="仿宋_GB2312" w:hAnsi="仿宋_GB2312" w:eastAsia="仿宋_GB2312" w:cs="仿宋_GB2312"/>
          <w:b/>
          <w:bCs/>
          <w:sz w:val="28"/>
          <w:szCs w:val="28"/>
        </w:rPr>
        <w:t xml:space="preserve">年 </w:t>
      </w:r>
      <w:r>
        <w:rPr>
          <w:rFonts w:hint="eastAsia" w:ascii="仿宋_GB2312" w:hAnsi="仿宋_GB2312" w:eastAsia="仿宋_GB2312" w:cs="仿宋_GB2312"/>
          <w:b/>
          <w:bCs/>
          <w:sz w:val="28"/>
          <w:szCs w:val="28"/>
          <w:u w:val="single"/>
        </w:rPr>
        <w:t xml:space="preserve">      </w:t>
      </w:r>
      <w:r>
        <w:rPr>
          <w:rFonts w:hint="eastAsia" w:ascii="仿宋_GB2312" w:hAnsi="仿宋_GB2312" w:eastAsia="仿宋_GB2312" w:cs="仿宋_GB2312"/>
          <w:b/>
          <w:bCs/>
          <w:sz w:val="28"/>
          <w:szCs w:val="28"/>
        </w:rPr>
        <w:t xml:space="preserve">月 </w:t>
      </w:r>
      <w:r>
        <w:rPr>
          <w:rFonts w:hint="eastAsia" w:ascii="仿宋_GB2312" w:hAnsi="仿宋_GB2312" w:eastAsia="仿宋_GB2312" w:cs="仿宋_GB2312"/>
          <w:b/>
          <w:bCs/>
          <w:sz w:val="28"/>
          <w:szCs w:val="28"/>
          <w:u w:val="single"/>
        </w:rPr>
        <w:t xml:space="preserve">      </w:t>
      </w:r>
      <w:r>
        <w:rPr>
          <w:rFonts w:hint="eastAsia" w:ascii="仿宋_GB2312" w:hAnsi="仿宋_GB2312" w:eastAsia="仿宋_GB2312" w:cs="仿宋_GB2312"/>
          <w:b/>
          <w:bCs/>
          <w:sz w:val="28"/>
          <w:szCs w:val="28"/>
        </w:rPr>
        <w:t>日</w:t>
      </w:r>
      <w:bookmarkEnd w:id="196"/>
      <w:bookmarkEnd w:id="197"/>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bookmarkStart w:id="198" w:name="_Toc22351_WPSOffice_Level2"/>
      <w:bookmarkStart w:id="199" w:name="_Toc21974_WPSOffice_Level2"/>
      <w:r>
        <w:rPr>
          <w:rFonts w:hint="eastAsia" w:ascii="仿宋_GB2312" w:hAnsi="仿宋_GB2312" w:eastAsia="仿宋_GB2312" w:cs="仿宋_GB2312"/>
          <w:sz w:val="28"/>
          <w:szCs w:val="28"/>
        </w:rPr>
        <w:t>目     录</w:t>
      </w:r>
      <w:bookmarkEnd w:id="198"/>
      <w:bookmarkEnd w:id="199"/>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200" w:name="_Toc30529_WPSOffice_Level1"/>
      <w:bookmarkStart w:id="201" w:name="_Toc6353_WPSOffice_Level1"/>
      <w:bookmarkStart w:id="202" w:name="_Toc11424_WPSOffice_Level1"/>
      <w:bookmarkStart w:id="203" w:name="_Toc23368_WPSOffice_Level1"/>
      <w:bookmarkStart w:id="204" w:name="_Toc12670_WPSOffice_Level1"/>
      <w:r>
        <w:rPr>
          <w:rFonts w:hint="eastAsia" w:ascii="仿宋_GB2312" w:hAnsi="仿宋_GB2312" w:eastAsia="仿宋_GB2312" w:cs="仿宋_GB2312"/>
          <w:sz w:val="28"/>
          <w:szCs w:val="28"/>
        </w:rPr>
        <w:t>一、报价函</w:t>
      </w:r>
      <w:bookmarkEnd w:id="200"/>
      <w:bookmarkEnd w:id="201"/>
      <w:bookmarkEnd w:id="202"/>
      <w:bookmarkEnd w:id="203"/>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205" w:name="_Toc21229_WPSOffice_Level1"/>
      <w:bookmarkStart w:id="206" w:name="_Toc32729_WPSOffice_Level1"/>
      <w:bookmarkStart w:id="207" w:name="_Toc5317_WPSOffice_Level1"/>
      <w:bookmarkStart w:id="208" w:name="_Toc31927_WPSOffice_Level1"/>
      <w:r>
        <w:rPr>
          <w:rFonts w:hint="eastAsia" w:ascii="仿宋_GB2312" w:hAnsi="仿宋_GB2312" w:eastAsia="仿宋_GB2312" w:cs="仿宋_GB2312"/>
          <w:sz w:val="28"/>
          <w:szCs w:val="28"/>
        </w:rPr>
        <w:t>二、法定代表人身份证明及授权委托书</w:t>
      </w:r>
      <w:bookmarkEnd w:id="205"/>
      <w:bookmarkEnd w:id="206"/>
      <w:bookmarkEnd w:id="207"/>
      <w:bookmarkEnd w:id="208"/>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209" w:name="_Toc23356_WPSOffice_Level1"/>
      <w:bookmarkStart w:id="210" w:name="_Toc25965_WPSOffice_Level1"/>
      <w:bookmarkStart w:id="211" w:name="_Toc29085_WPSOffice_Level1"/>
      <w:bookmarkStart w:id="212" w:name="_Toc4728_WPSOffice_Level1"/>
      <w:r>
        <w:rPr>
          <w:rFonts w:hint="eastAsia" w:ascii="仿宋_GB2312" w:hAnsi="仿宋_GB2312" w:eastAsia="仿宋_GB2312" w:cs="仿宋_GB2312"/>
          <w:sz w:val="28"/>
          <w:szCs w:val="28"/>
        </w:rPr>
        <w:t>三、已标价的</w:t>
      </w:r>
      <w:bookmarkEnd w:id="209"/>
      <w:bookmarkEnd w:id="210"/>
      <w:bookmarkEnd w:id="211"/>
      <w:bookmarkEnd w:id="212"/>
      <w:r>
        <w:rPr>
          <w:rFonts w:hint="eastAsia" w:ascii="仿宋_GB2312" w:hAnsi="仿宋_GB2312" w:eastAsia="仿宋_GB2312" w:cs="仿宋_GB2312"/>
          <w:sz w:val="28"/>
          <w:szCs w:val="28"/>
        </w:rPr>
        <w:t>报价清单</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213" w:name="_Toc18964_WPSOffice_Level1"/>
      <w:bookmarkStart w:id="214" w:name="_Toc10608_WPSOffice_Level1"/>
      <w:bookmarkStart w:id="215" w:name="_Toc23744_WPSOffice_Level1"/>
      <w:bookmarkStart w:id="216" w:name="_Toc7453_WPSOffice_Level1"/>
      <w:r>
        <w:rPr>
          <w:rFonts w:hint="eastAsia" w:ascii="仿宋_GB2312" w:hAnsi="仿宋_GB2312" w:eastAsia="仿宋_GB2312" w:cs="仿宋_GB2312"/>
          <w:sz w:val="28"/>
          <w:szCs w:val="28"/>
        </w:rPr>
        <w:t>四、</w:t>
      </w:r>
      <w:bookmarkEnd w:id="213"/>
      <w:bookmarkEnd w:id="214"/>
      <w:bookmarkEnd w:id="215"/>
      <w:bookmarkEnd w:id="216"/>
      <w:r>
        <w:rPr>
          <w:rFonts w:hint="eastAsia" w:ascii="仿宋_GB2312" w:hAnsi="仿宋_GB2312" w:eastAsia="仿宋_GB2312" w:cs="仿宋_GB2312"/>
          <w:sz w:val="28"/>
          <w:szCs w:val="28"/>
        </w:rPr>
        <w:t>供应商基本情况</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217" w:name="_Toc9006_WPSOffice_Level1"/>
      <w:bookmarkStart w:id="218" w:name="_Toc1578_WPSOffice_Level1"/>
      <w:bookmarkStart w:id="219" w:name="_Toc23751_WPSOffice_Level1"/>
      <w:bookmarkStart w:id="220" w:name="_Toc19601_WPSOffice_Level1"/>
      <w:r>
        <w:rPr>
          <w:rFonts w:hint="eastAsia" w:ascii="仿宋_GB2312" w:hAnsi="仿宋_GB2312" w:eastAsia="仿宋_GB2312" w:cs="仿宋_GB2312"/>
          <w:sz w:val="28"/>
          <w:szCs w:val="28"/>
        </w:rPr>
        <w:t>五、</w:t>
      </w:r>
      <w:bookmarkEnd w:id="217"/>
      <w:bookmarkEnd w:id="218"/>
      <w:bookmarkEnd w:id="219"/>
      <w:bookmarkEnd w:id="220"/>
      <w:r>
        <w:rPr>
          <w:rFonts w:hint="eastAsia" w:ascii="仿宋_GB2312" w:hAnsi="仿宋_GB2312" w:eastAsia="仿宋_GB2312" w:cs="仿宋_GB2312"/>
          <w:sz w:val="28"/>
          <w:szCs w:val="28"/>
        </w:rPr>
        <w:t>近年类似业绩情况</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221" w:name="_Toc32648_WPSOffice_Level1"/>
      <w:bookmarkStart w:id="222" w:name="_Toc30273_WPSOffice_Level1"/>
      <w:bookmarkStart w:id="223" w:name="_Toc25804_WPSOffice_Level1"/>
      <w:bookmarkStart w:id="224" w:name="_Toc27403_WPSOffice_Level1"/>
      <w:r>
        <w:rPr>
          <w:rFonts w:hint="eastAsia" w:ascii="仿宋_GB2312" w:hAnsi="仿宋_GB2312" w:eastAsia="仿宋_GB2312" w:cs="仿宋_GB2312"/>
          <w:sz w:val="28"/>
          <w:szCs w:val="28"/>
        </w:rPr>
        <w:t>六、</w:t>
      </w:r>
      <w:bookmarkEnd w:id="221"/>
      <w:bookmarkEnd w:id="222"/>
      <w:bookmarkEnd w:id="223"/>
      <w:bookmarkEnd w:id="224"/>
      <w:r>
        <w:rPr>
          <w:rFonts w:hint="eastAsia" w:ascii="仿宋_GB2312" w:hAnsi="仿宋_GB2312" w:eastAsia="仿宋_GB2312" w:cs="仿宋_GB2312"/>
          <w:sz w:val="28"/>
          <w:szCs w:val="28"/>
        </w:rPr>
        <w:t>信誉情况</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225" w:name="_Toc4051_WPSOffice_Level1"/>
      <w:bookmarkStart w:id="226" w:name="_Toc23147_WPSOffice_Level1"/>
      <w:bookmarkStart w:id="227" w:name="_Toc30234_WPSOffice_Level1"/>
      <w:bookmarkStart w:id="228" w:name="_Toc32152_WPSOffice_Level1"/>
      <w:r>
        <w:rPr>
          <w:rFonts w:hint="eastAsia" w:ascii="仿宋_GB2312" w:hAnsi="仿宋_GB2312" w:eastAsia="仿宋_GB2312" w:cs="仿宋_GB2312"/>
          <w:sz w:val="28"/>
          <w:szCs w:val="28"/>
        </w:rPr>
        <w:t>七、</w:t>
      </w:r>
      <w:bookmarkEnd w:id="225"/>
      <w:bookmarkEnd w:id="226"/>
      <w:bookmarkEnd w:id="227"/>
      <w:bookmarkEnd w:id="228"/>
      <w:r>
        <w:rPr>
          <w:rFonts w:hint="eastAsia" w:ascii="仿宋_GB2312" w:hAnsi="仿宋_GB2312" w:eastAsia="仿宋_GB2312" w:cs="仿宋_GB2312"/>
          <w:sz w:val="28"/>
          <w:szCs w:val="28"/>
        </w:rPr>
        <w:t>技术方案</w:t>
      </w:r>
    </w:p>
    <w:bookmarkEnd w:id="204"/>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bookmarkStart w:id="229" w:name="_Toc18312_WPSOffice_Level1"/>
      <w:bookmarkStart w:id="230" w:name="_Toc2765_WPSOffice_Level1"/>
      <w:bookmarkStart w:id="231" w:name="_Toc30031_WPSOffice_Level1"/>
      <w:bookmarkStart w:id="232" w:name="_Toc25394_WPSOffice_Level1"/>
      <w:bookmarkStart w:id="233" w:name="_Toc1687_WPSOffice_Level1"/>
      <w:r>
        <w:rPr>
          <w:rFonts w:hint="eastAsia" w:ascii="仿宋_GB2312" w:hAnsi="仿宋_GB2312" w:eastAsia="仿宋_GB2312" w:cs="仿宋_GB2312"/>
          <w:sz w:val="28"/>
          <w:szCs w:val="28"/>
        </w:rPr>
        <w:t xml:space="preserve"> 一、报价函</w:t>
      </w:r>
      <w:bookmarkEnd w:id="229"/>
      <w:bookmarkEnd w:id="230"/>
      <w:bookmarkEnd w:id="231"/>
      <w:bookmarkEnd w:id="232"/>
      <w:bookmarkEnd w:id="233"/>
    </w:p>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(采购人名称)：</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1．我方已仔细研究了 </w:t>
      </w:r>
      <w:r>
        <w:rPr>
          <w:rFonts w:hint="eastAsia" w:ascii="仿宋_GB2312" w:hAnsi="仿宋_GB2312" w:eastAsia="仿宋_GB2312" w:cs="仿宋_GB2312"/>
          <w:sz w:val="28"/>
          <w:szCs w:val="28"/>
          <w:u w:val="single"/>
        </w:rPr>
        <w:t xml:space="preserve">  (项目名称)  </w:t>
      </w:r>
      <w:r>
        <w:rPr>
          <w:rFonts w:hint="eastAsia" w:ascii="仿宋_GB2312" w:hAnsi="仿宋_GB2312" w:eastAsia="仿宋_GB2312" w:cs="仿宋_GB2312"/>
          <w:sz w:val="28"/>
          <w:szCs w:val="28"/>
        </w:rPr>
        <w:t xml:space="preserve"> 合同包询比文件的全部内容，愿意以人民币(大写)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(小写：¥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)的总报价，服务期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，按合同约定实施和完成相关服务，质量目标达到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，安全目标达到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2．我方承诺在响应有效期内不修改、撤销响应文件。</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4．如我方成交：</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(1)我方承诺在收到成交通知书后，在成交通知书规定的期限内与你方签订合同。</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(2)我方承诺按照询比文件规定向你方递交履约担保。</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(3)我方承诺在合同约定的期限内完成全部合同任务。</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5．我方在此声明，所递交的响应文件及有关资料内容完整、真实和准确。</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6．在合同协议书正式签署生效之前，本报价函连同你方的成交通知书将构成我们双方之间共同遵守的文件，对双方具有约束力。</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7．我方理解，你方不一定接受任何报价。同时也理解，你方不负担我方的任何报价费用。</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供应商：</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(盖单位章)</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法定代表人或委托代理人：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(签名)</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地址：</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网址：</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电话：</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电子邮箱：</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pStyle w:val="18"/>
        <w:widowControl/>
        <w:shd w:val="clear" w:color="auto" w:fill="FFFFFF"/>
        <w:spacing w:beforeAutospacing="0" w:afterAutospacing="0" w:line="560" w:lineRule="exact"/>
        <w:ind w:firstLine="560" w:firstLineChars="200"/>
        <w:jc w:val="center"/>
        <w:rPr>
          <w:rFonts w:ascii="仿宋_GB2312" w:hAnsi="仿宋_GB2312" w:eastAsia="仿宋_GB2312" w:cs="仿宋_GB2312"/>
          <w:sz w:val="28"/>
          <w:szCs w:val="28"/>
        </w:rPr>
      </w:pPr>
      <w:bookmarkStart w:id="234" w:name="_Toc14563_WPSOffice_Level1"/>
      <w:bookmarkStart w:id="235" w:name="_Toc18668_WPSOffice_Level1"/>
      <w:bookmarkStart w:id="236" w:name="_Toc16271_WPSOffice_Level1"/>
      <w:bookmarkStart w:id="237" w:name="_Toc8695_WPSOffice_Level1"/>
      <w:bookmarkStart w:id="238" w:name="_Toc32350_WPSOffice_Level1"/>
      <w:r>
        <w:rPr>
          <w:rFonts w:hint="eastAsia" w:ascii="仿宋_GB2312" w:hAnsi="仿宋_GB2312" w:eastAsia="仿宋_GB2312" w:cs="仿宋_GB2312"/>
          <w:sz w:val="28"/>
          <w:szCs w:val="28"/>
        </w:rPr>
        <w:t>二、法定代表人身份证明及授权委托书</w:t>
      </w:r>
      <w:bookmarkEnd w:id="234"/>
      <w:bookmarkEnd w:id="235"/>
      <w:bookmarkEnd w:id="236"/>
      <w:bookmarkEnd w:id="237"/>
      <w:bookmarkEnd w:id="238"/>
    </w:p>
    <w:p>
      <w:pPr>
        <w:pStyle w:val="18"/>
        <w:widowControl/>
        <w:shd w:val="clear" w:color="auto" w:fill="FFFFFF"/>
        <w:spacing w:beforeAutospacing="0" w:afterAutospacing="0" w:line="560" w:lineRule="exact"/>
        <w:ind w:firstLine="2520" w:firstLineChars="900"/>
        <w:jc w:val="left"/>
        <w:rPr>
          <w:rFonts w:ascii="仿宋_GB2312" w:hAnsi="仿宋_GB2312" w:eastAsia="仿宋_GB2312" w:cs="仿宋_GB2312"/>
          <w:sz w:val="28"/>
          <w:szCs w:val="28"/>
        </w:rPr>
      </w:pPr>
      <w:bookmarkStart w:id="239" w:name="_Toc5153_WPSOffice_Level2"/>
      <w:bookmarkStart w:id="240" w:name="_Toc20803_WPSOffice_Level2"/>
      <w:r>
        <w:rPr>
          <w:rFonts w:hint="eastAsia" w:ascii="仿宋_GB2312" w:hAnsi="仿宋_GB2312" w:eastAsia="仿宋_GB2312" w:cs="仿宋_GB2312"/>
          <w:sz w:val="28"/>
          <w:szCs w:val="28"/>
        </w:rPr>
        <w:t>2-1 法定代表人身份证明</w:t>
      </w:r>
      <w:bookmarkEnd w:id="239"/>
      <w:bookmarkEnd w:id="240"/>
    </w:p>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供应商名称：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单位性质：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地址：</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成立时间：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月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日</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经营期限：</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姓名：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性别：</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年龄：</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职务：</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系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(供应商名称)的法定代表人。</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附：法定代表人身份证正反面复印件</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特此证明。</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供应商：</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(盖单位章)</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日           </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241" w:name="_Toc12035_WPSOffice_Level2"/>
      <w:bookmarkStart w:id="242" w:name="_Toc19768_WPSOffice_Level2"/>
      <w:r>
        <w:rPr>
          <w:rFonts w:hint="eastAsia" w:ascii="仿宋_GB2312" w:hAnsi="仿宋_GB2312" w:eastAsia="仿宋_GB2312" w:cs="仿宋_GB2312"/>
          <w:sz w:val="28"/>
          <w:szCs w:val="28"/>
        </w:rPr>
        <w:t xml:space="preserve">                 </w:t>
      </w:r>
    </w:p>
    <w:p>
      <w:pPr>
        <w:pStyle w:val="18"/>
        <w:widowControl/>
        <w:shd w:val="clear" w:color="auto" w:fill="FFFFFF"/>
        <w:spacing w:beforeAutospacing="0" w:afterAutospacing="0"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2-2 授权委托书</w:t>
      </w:r>
      <w:bookmarkEnd w:id="241"/>
      <w:bookmarkEnd w:id="242"/>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本人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(姓名)系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(供应商名称)的法定代表人，现委托</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(姓名)为我方代理人。代理人根据授权，以我方名义签署、澄清、说明、补正、递交、撤回、修改</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(项目名称)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合同包响应文件、签订合同和处理有关事宜，其法律后果由我方承担。</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委托期限：自授权委托之日起至签订合同之日止。</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代理人无转委托权。</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附：法定代表人身份证明、委托代理人的身份证正反面复印件</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供应商：</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(盖单位章)</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(签名)</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身份证号码：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委托代理人：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(签名)</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身份证号码：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pStyle w:val="18"/>
        <w:widowControl/>
        <w:shd w:val="clear" w:color="auto" w:fill="FFFFFF"/>
        <w:spacing w:beforeAutospacing="0" w:afterAutospacing="0" w:line="560" w:lineRule="exact"/>
        <w:ind w:firstLine="560" w:firstLineChars="200"/>
        <w:jc w:val="center"/>
        <w:rPr>
          <w:rFonts w:ascii="仿宋_GB2312" w:hAnsi="仿宋_GB2312" w:eastAsia="仿宋_GB2312" w:cs="仿宋_GB2312"/>
          <w:sz w:val="28"/>
          <w:szCs w:val="28"/>
        </w:rPr>
      </w:pPr>
      <w:bookmarkStart w:id="243" w:name="_Toc15186_WPSOffice_Level1"/>
      <w:bookmarkStart w:id="244" w:name="_Toc32085_WPSOffice_Level1"/>
      <w:bookmarkStart w:id="245" w:name="_Toc24567_WPSOffice_Level1"/>
      <w:bookmarkStart w:id="246" w:name="_Toc24530_WPSOffice_Level1"/>
      <w:bookmarkStart w:id="247" w:name="_Toc31532_WPSOffice_Level1"/>
      <w:r>
        <w:rPr>
          <w:rFonts w:hint="eastAsia" w:ascii="仿宋_GB2312" w:hAnsi="仿宋_GB2312" w:eastAsia="仿宋_GB2312" w:cs="仿宋_GB2312"/>
          <w:sz w:val="28"/>
          <w:szCs w:val="28"/>
        </w:rPr>
        <w:t>三、已标价的</w:t>
      </w:r>
      <w:bookmarkEnd w:id="243"/>
      <w:bookmarkEnd w:id="244"/>
      <w:bookmarkEnd w:id="245"/>
      <w:bookmarkEnd w:id="246"/>
      <w:r>
        <w:rPr>
          <w:rFonts w:hint="eastAsia" w:ascii="仿宋_GB2312" w:hAnsi="仿宋_GB2312" w:eastAsia="仿宋_GB2312" w:cs="仿宋_GB2312"/>
          <w:sz w:val="28"/>
          <w:szCs w:val="28"/>
        </w:rPr>
        <w:t>报价清单</w:t>
      </w:r>
      <w:bookmarkEnd w:id="247"/>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sectPr>
          <w:footerReference r:id="rId4" w:type="default"/>
          <w:footnotePr>
            <w:numFmt w:val="decimalEnclosedCircleChinese"/>
          </w:footnotePr>
          <w:pgSz w:w="11906" w:h="16838"/>
          <w:pgMar w:top="1440" w:right="1797" w:bottom="1440" w:left="1797" w:header="851" w:footer="992" w:gutter="0"/>
          <w:cols w:space="720" w:num="1"/>
          <w:docGrid w:type="linesAndChars" w:linePitch="312" w:charSpace="0"/>
        </w:sectPr>
      </w:pPr>
    </w:p>
    <w:p>
      <w:pPr>
        <w:pStyle w:val="18"/>
        <w:widowControl/>
        <w:shd w:val="clear" w:color="auto" w:fill="FFFFFF"/>
        <w:spacing w:beforeAutospacing="0" w:afterAutospacing="0" w:line="560" w:lineRule="exact"/>
        <w:ind w:firstLine="560" w:firstLineChars="200"/>
        <w:jc w:val="center"/>
        <w:rPr>
          <w:rFonts w:ascii="仿宋_GB2312" w:hAnsi="仿宋_GB2312" w:eastAsia="仿宋_GB2312" w:cs="仿宋_GB2312"/>
          <w:sz w:val="28"/>
          <w:szCs w:val="28"/>
        </w:rPr>
      </w:pPr>
      <w:bookmarkStart w:id="248" w:name="_Toc26477_WPSOffice_Level1"/>
      <w:bookmarkStart w:id="249" w:name="_Toc7738_WPSOffice_Level1"/>
      <w:bookmarkStart w:id="250" w:name="_Toc10436_WPSOffice_Level1"/>
      <w:bookmarkStart w:id="251" w:name="_Toc31445_WPSOffice_Level1"/>
      <w:bookmarkStart w:id="252" w:name="_Toc23545_WPSOffice_Level1"/>
      <w:r>
        <w:rPr>
          <w:rFonts w:hint="eastAsia" w:ascii="仿宋_GB2312" w:hAnsi="仿宋_GB2312" w:eastAsia="仿宋_GB2312" w:cs="仿宋_GB2312"/>
          <w:sz w:val="28"/>
          <w:szCs w:val="28"/>
        </w:rPr>
        <w:t>四、</w:t>
      </w:r>
      <w:bookmarkStart w:id="253" w:name="_Toc2807_WPSOffice_Level2"/>
      <w:bookmarkStart w:id="254" w:name="_Toc27600_WPSOffice_Level2"/>
      <w:r>
        <w:rPr>
          <w:rFonts w:hint="eastAsia" w:ascii="仿宋_GB2312" w:hAnsi="仿宋_GB2312" w:eastAsia="仿宋_GB2312" w:cs="仿宋_GB2312"/>
          <w:sz w:val="28"/>
          <w:szCs w:val="28"/>
        </w:rPr>
        <w:t>供应商基本情况</w:t>
      </w:r>
      <w:bookmarkEnd w:id="248"/>
      <w:bookmarkEnd w:id="249"/>
      <w:bookmarkEnd w:id="250"/>
      <w:bookmarkEnd w:id="251"/>
      <w:bookmarkEnd w:id="252"/>
      <w:bookmarkEnd w:id="253"/>
      <w:bookmarkEnd w:id="254"/>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bl>
      <w:tblPr>
        <w:tblStyle w:val="21"/>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1920" w:type="dxa"/>
            <w:tcBorders>
              <w:top w:val="single" w:color="auto" w:sz="4" w:space="0"/>
              <w:left w:val="single" w:color="auto" w:sz="4" w:space="0"/>
              <w:bottom w:val="single" w:color="auto" w:sz="4" w:space="0"/>
              <w:right w:val="single" w:color="auto" w:sz="4" w:space="0"/>
            </w:tcBorders>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供应商名称</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1920" w:type="dxa"/>
            <w:tcBorders>
              <w:top w:val="single" w:color="auto" w:sz="4" w:space="0"/>
              <w:left w:val="single" w:color="auto" w:sz="4" w:space="0"/>
              <w:bottom w:val="single" w:color="auto" w:sz="4" w:space="0"/>
              <w:right w:val="single" w:color="auto" w:sz="4" w:space="0"/>
            </w:tcBorders>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084" w:type="dxa"/>
            <w:tcBorders>
              <w:top w:val="single" w:color="auto" w:sz="4" w:space="0"/>
              <w:left w:val="single" w:color="auto" w:sz="4" w:space="0"/>
              <w:bottom w:val="single" w:color="auto" w:sz="4" w:space="0"/>
              <w:right w:val="single" w:color="auto" w:sz="4" w:space="0"/>
            </w:tcBorders>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电 话</w:t>
            </w:r>
          </w:p>
        </w:tc>
        <w:tc>
          <w:tcPr>
            <w:tcW w:w="2356" w:type="dxa"/>
            <w:tcBorders>
              <w:top w:val="single" w:color="auto" w:sz="4" w:space="0"/>
              <w:left w:val="single" w:color="auto" w:sz="4" w:space="0"/>
              <w:bottom w:val="single" w:color="auto" w:sz="4" w:space="0"/>
              <w:right w:val="single" w:color="auto" w:sz="4" w:space="0"/>
            </w:tcBorders>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1920" w:type="dxa"/>
            <w:vMerge w:val="restart"/>
            <w:tcBorders>
              <w:top w:val="single" w:color="auto" w:sz="4" w:space="0"/>
              <w:left w:val="single" w:color="auto" w:sz="4" w:space="0"/>
              <w:bottom w:val="single" w:color="auto" w:sz="4" w:space="0"/>
              <w:right w:val="single" w:color="auto" w:sz="4" w:space="0"/>
            </w:tcBorders>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联系人</w:t>
            </w:r>
          </w:p>
        </w:tc>
        <w:tc>
          <w:tcPr>
            <w:tcW w:w="2173" w:type="dxa"/>
            <w:tcBorders>
              <w:top w:val="single" w:color="auto" w:sz="4" w:space="0"/>
              <w:left w:val="single" w:color="auto" w:sz="4" w:space="0"/>
              <w:bottom w:val="single" w:color="auto" w:sz="4" w:space="0"/>
              <w:right w:val="single" w:color="auto" w:sz="4" w:space="0"/>
            </w:tcBorders>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084" w:type="dxa"/>
            <w:tcBorders>
              <w:top w:val="single" w:color="auto" w:sz="4" w:space="0"/>
              <w:left w:val="single" w:color="auto" w:sz="4" w:space="0"/>
              <w:bottom w:val="single" w:color="auto" w:sz="4" w:space="0"/>
              <w:right w:val="single" w:color="auto" w:sz="4" w:space="0"/>
            </w:tcBorders>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电 话</w:t>
            </w:r>
          </w:p>
        </w:tc>
        <w:tc>
          <w:tcPr>
            <w:tcW w:w="2356" w:type="dxa"/>
            <w:tcBorders>
              <w:top w:val="single" w:color="auto" w:sz="4" w:space="0"/>
              <w:left w:val="single" w:color="auto" w:sz="4" w:space="0"/>
              <w:bottom w:val="single" w:color="auto" w:sz="4" w:space="0"/>
              <w:right w:val="single" w:color="auto" w:sz="4" w:space="0"/>
            </w:tcBorders>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4" w:hRule="atLeast"/>
        </w:trPr>
        <w:tc>
          <w:tcPr>
            <w:tcW w:w="1920" w:type="dxa"/>
            <w:vMerge w:val="continue"/>
            <w:tcBorders>
              <w:top w:val="single" w:color="auto" w:sz="4" w:space="0"/>
              <w:left w:val="single" w:color="auto" w:sz="4" w:space="0"/>
              <w:bottom w:val="single" w:color="auto" w:sz="4" w:space="0"/>
              <w:right w:val="single" w:color="auto" w:sz="4" w:space="0"/>
            </w:tcBorders>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087" w:type="dxa"/>
            <w:tcBorders>
              <w:top w:val="single" w:color="auto" w:sz="4" w:space="0"/>
              <w:left w:val="single" w:color="auto" w:sz="4" w:space="0"/>
              <w:bottom w:val="single" w:color="auto" w:sz="4" w:space="0"/>
              <w:right w:val="single" w:color="auto" w:sz="4" w:space="0"/>
            </w:tcBorders>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职  务</w:t>
            </w:r>
          </w:p>
        </w:tc>
        <w:tc>
          <w:tcPr>
            <w:tcW w:w="2173" w:type="dxa"/>
            <w:tcBorders>
              <w:top w:val="single" w:color="auto" w:sz="4" w:space="0"/>
              <w:left w:val="single" w:color="auto" w:sz="4" w:space="0"/>
              <w:bottom w:val="single" w:color="auto" w:sz="4" w:space="0"/>
              <w:right w:val="single" w:color="auto" w:sz="4" w:space="0"/>
            </w:tcBorders>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084" w:type="dxa"/>
            <w:tcBorders>
              <w:top w:val="single" w:color="auto" w:sz="4" w:space="0"/>
              <w:left w:val="single" w:color="auto" w:sz="4" w:space="0"/>
              <w:bottom w:val="single" w:color="auto" w:sz="4" w:space="0"/>
              <w:right w:val="single" w:color="auto" w:sz="4" w:space="0"/>
            </w:tcBorders>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电子邮箱</w:t>
            </w:r>
          </w:p>
        </w:tc>
        <w:tc>
          <w:tcPr>
            <w:tcW w:w="2356" w:type="dxa"/>
            <w:tcBorders>
              <w:top w:val="single" w:color="auto" w:sz="4" w:space="0"/>
              <w:left w:val="single" w:color="auto" w:sz="4" w:space="0"/>
              <w:bottom w:val="single" w:color="auto" w:sz="4" w:space="0"/>
              <w:right w:val="single" w:color="auto" w:sz="4" w:space="0"/>
            </w:tcBorders>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1920" w:type="dxa"/>
            <w:tcBorders>
              <w:top w:val="single" w:color="auto" w:sz="4" w:space="0"/>
              <w:left w:val="single" w:color="auto" w:sz="4" w:space="0"/>
              <w:bottom w:val="single" w:color="auto" w:sz="4" w:space="0"/>
              <w:right w:val="single" w:color="auto" w:sz="4" w:space="0"/>
            </w:tcBorders>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w:t>
            </w:r>
          </w:p>
        </w:tc>
        <w:tc>
          <w:tcPr>
            <w:tcW w:w="1087" w:type="dxa"/>
            <w:tcBorders>
              <w:top w:val="single" w:color="auto" w:sz="4" w:space="0"/>
              <w:left w:val="single" w:color="auto" w:sz="4" w:space="0"/>
              <w:bottom w:val="single" w:color="auto" w:sz="4" w:space="0"/>
              <w:right w:val="single" w:color="auto" w:sz="4" w:space="0"/>
            </w:tcBorders>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2173" w:type="dxa"/>
            <w:tcBorders>
              <w:top w:val="single" w:color="auto" w:sz="4" w:space="0"/>
              <w:left w:val="single" w:color="auto" w:sz="4" w:space="0"/>
              <w:bottom w:val="single" w:color="auto" w:sz="4" w:space="0"/>
              <w:right w:val="single" w:color="auto" w:sz="4" w:space="0"/>
            </w:tcBorders>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084" w:type="dxa"/>
            <w:tcBorders>
              <w:top w:val="single" w:color="auto" w:sz="4" w:space="0"/>
              <w:left w:val="single" w:color="auto" w:sz="4" w:space="0"/>
              <w:bottom w:val="single" w:color="auto" w:sz="4" w:space="0"/>
              <w:right w:val="single" w:color="auto" w:sz="4" w:space="0"/>
            </w:tcBorders>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2356" w:type="dxa"/>
            <w:tcBorders>
              <w:top w:val="single" w:color="auto" w:sz="4" w:space="0"/>
              <w:left w:val="single" w:color="auto" w:sz="4" w:space="0"/>
              <w:bottom w:val="single" w:color="auto" w:sz="4" w:space="0"/>
              <w:right w:val="single" w:color="auto" w:sz="4" w:space="0"/>
            </w:tcBorders>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1920" w:type="dxa"/>
            <w:tcBorders>
              <w:top w:val="single" w:color="auto" w:sz="4" w:space="0"/>
              <w:left w:val="single" w:color="auto" w:sz="4" w:space="0"/>
              <w:bottom w:val="single" w:color="auto" w:sz="4" w:space="0"/>
              <w:right w:val="single" w:color="auto" w:sz="4" w:space="0"/>
            </w:tcBorders>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企业资质等级</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1" w:hRule="atLeast"/>
        </w:trPr>
        <w:tc>
          <w:tcPr>
            <w:tcW w:w="1920" w:type="dxa"/>
            <w:tcBorders>
              <w:top w:val="single" w:color="auto" w:sz="4" w:space="0"/>
              <w:left w:val="single" w:color="auto" w:sz="4" w:space="0"/>
              <w:bottom w:val="single" w:color="auto" w:sz="4" w:space="0"/>
              <w:right w:val="single" w:color="auto" w:sz="4" w:space="0"/>
            </w:tcBorders>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资产构成情况及投资参股的关联企业情况</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1920" w:type="dxa"/>
            <w:tcBorders>
              <w:top w:val="single" w:color="auto" w:sz="4" w:space="0"/>
              <w:left w:val="single" w:color="auto" w:sz="4" w:space="0"/>
              <w:bottom w:val="single" w:color="auto" w:sz="4" w:space="0"/>
              <w:right w:val="single" w:color="auto" w:sz="4" w:space="0"/>
            </w:tcBorders>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备注</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r>
    </w:tbl>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注：在本表后应附企业法人营业执照、资质证书（如有）及资格审查要求的其他证件复印件。</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bookmarkStart w:id="255" w:name="_Toc19004_WPSOffice_Level1"/>
      <w:bookmarkStart w:id="256" w:name="_Toc18547_WPSOffice_Level1"/>
      <w:bookmarkStart w:id="257" w:name="_Toc20943_WPSOffice_Level1"/>
      <w:bookmarkStart w:id="258" w:name="_Toc3772_WPSOffice_Level1"/>
      <w:bookmarkStart w:id="259" w:name="_Toc5072_WPSOffice_Level1"/>
      <w:r>
        <w:rPr>
          <w:rFonts w:hint="eastAsia" w:ascii="仿宋_GB2312" w:hAnsi="仿宋_GB2312" w:eastAsia="仿宋_GB2312" w:cs="仿宋_GB2312"/>
          <w:sz w:val="28"/>
          <w:szCs w:val="28"/>
        </w:rPr>
        <w:t xml:space="preserve">                    五、近年类似业绩情况</w:t>
      </w:r>
      <w:bookmarkEnd w:id="255"/>
      <w:bookmarkEnd w:id="256"/>
      <w:bookmarkEnd w:id="257"/>
      <w:bookmarkEnd w:id="258"/>
      <w:bookmarkEnd w:id="259"/>
    </w:p>
    <w:tbl>
      <w:tblPr>
        <w:tblStyle w:val="21"/>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6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411" w:type="dxa"/>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6648" w:type="dxa"/>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411" w:type="dxa"/>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项目所在地</w:t>
            </w:r>
          </w:p>
        </w:tc>
        <w:tc>
          <w:tcPr>
            <w:tcW w:w="6648" w:type="dxa"/>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411" w:type="dxa"/>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业主名称</w:t>
            </w:r>
          </w:p>
        </w:tc>
        <w:tc>
          <w:tcPr>
            <w:tcW w:w="6648" w:type="dxa"/>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411" w:type="dxa"/>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业主地址</w:t>
            </w:r>
          </w:p>
        </w:tc>
        <w:tc>
          <w:tcPr>
            <w:tcW w:w="6648" w:type="dxa"/>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411" w:type="dxa"/>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业主电话</w:t>
            </w:r>
          </w:p>
        </w:tc>
        <w:tc>
          <w:tcPr>
            <w:tcW w:w="6648" w:type="dxa"/>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411" w:type="dxa"/>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合同价格</w:t>
            </w:r>
          </w:p>
        </w:tc>
        <w:tc>
          <w:tcPr>
            <w:tcW w:w="6648" w:type="dxa"/>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11" w:type="dxa"/>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开工日期</w:t>
            </w:r>
          </w:p>
        </w:tc>
        <w:tc>
          <w:tcPr>
            <w:tcW w:w="6648" w:type="dxa"/>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411" w:type="dxa"/>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完成日期</w:t>
            </w:r>
          </w:p>
        </w:tc>
        <w:tc>
          <w:tcPr>
            <w:tcW w:w="6648" w:type="dxa"/>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411" w:type="dxa"/>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承担的工作</w:t>
            </w:r>
          </w:p>
        </w:tc>
        <w:tc>
          <w:tcPr>
            <w:tcW w:w="6648" w:type="dxa"/>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2411" w:type="dxa"/>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项目负责人</w:t>
            </w:r>
          </w:p>
        </w:tc>
        <w:tc>
          <w:tcPr>
            <w:tcW w:w="6648" w:type="dxa"/>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411" w:type="dxa"/>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项目描述</w:t>
            </w:r>
          </w:p>
        </w:tc>
        <w:tc>
          <w:tcPr>
            <w:tcW w:w="6648" w:type="dxa"/>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411" w:type="dxa"/>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备注</w:t>
            </w:r>
          </w:p>
        </w:tc>
        <w:tc>
          <w:tcPr>
            <w:tcW w:w="6648" w:type="dxa"/>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r>
    </w:tbl>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注：</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1、每张表格只填写一个项目，并标明序号。</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2、业绩证明材料要求：</w:t>
      </w:r>
      <w:r>
        <w:rPr>
          <w:rFonts w:hint="eastAsia" w:ascii="仿宋_GB2312" w:hAnsi="仿宋_GB2312" w:eastAsia="仿宋_GB2312" w:cs="仿宋_GB2312"/>
          <w:sz w:val="28"/>
          <w:szCs w:val="28"/>
          <w:u w:val="single"/>
        </w:rPr>
        <w:t xml:space="preserve">     /       </w:t>
      </w:r>
      <w:r>
        <w:rPr>
          <w:rFonts w:hint="eastAsia" w:ascii="仿宋_GB2312" w:hAnsi="仿宋_GB2312" w:eastAsia="仿宋_GB2312" w:cs="仿宋_GB2312"/>
          <w:sz w:val="28"/>
          <w:szCs w:val="28"/>
        </w:rPr>
        <w:t xml:space="preserve"> 。</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3、如近年来，供应商法人机构发生合法变更或重组或法人名称变更时，应提供相关部门的合法批件或其他相关证明材料来证明其所附业绩的继承性。</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pStyle w:val="18"/>
        <w:widowControl/>
        <w:shd w:val="clear" w:color="auto" w:fill="FFFFFF"/>
        <w:spacing w:beforeAutospacing="0" w:afterAutospacing="0" w:line="560" w:lineRule="exact"/>
        <w:ind w:firstLine="3080" w:firstLineChars="1100"/>
        <w:rPr>
          <w:rFonts w:ascii="仿宋_GB2312" w:hAnsi="仿宋_GB2312" w:eastAsia="仿宋_GB2312" w:cs="仿宋_GB2312"/>
          <w:sz w:val="28"/>
          <w:szCs w:val="28"/>
        </w:rPr>
      </w:pPr>
      <w:bookmarkStart w:id="260" w:name="_Toc3893_WPSOffice_Level1"/>
      <w:bookmarkStart w:id="261" w:name="_Toc5403_WPSOffice_Level1"/>
      <w:bookmarkStart w:id="262" w:name="_Toc9267_WPSOffice_Level1"/>
      <w:bookmarkStart w:id="263" w:name="_Toc12019_WPSOffice_Level1"/>
      <w:bookmarkStart w:id="264" w:name="_Toc32222_WPSOffice_Level1"/>
      <w:r>
        <w:rPr>
          <w:rFonts w:hint="eastAsia" w:ascii="仿宋_GB2312" w:hAnsi="仿宋_GB2312" w:eastAsia="仿宋_GB2312" w:cs="仿宋_GB2312"/>
          <w:sz w:val="28"/>
          <w:szCs w:val="28"/>
        </w:rPr>
        <w:t>六、信誉情况</w:t>
      </w:r>
      <w:bookmarkEnd w:id="260"/>
      <w:bookmarkEnd w:id="261"/>
      <w:bookmarkEnd w:id="262"/>
      <w:bookmarkEnd w:id="263"/>
      <w:bookmarkEnd w:id="264"/>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bl>
      <w:tblPr>
        <w:tblStyle w:val="21"/>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9"/>
        <w:gridCol w:w="4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3999" w:type="dxa"/>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项 目</w:t>
            </w:r>
          </w:p>
        </w:tc>
        <w:tc>
          <w:tcPr>
            <w:tcW w:w="4360" w:type="dxa"/>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供应商情况说明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3999" w:type="dxa"/>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是否被责令停业，暂扣或吊销执照，或吊销资质证书</w:t>
            </w:r>
          </w:p>
        </w:tc>
        <w:tc>
          <w:tcPr>
            <w:tcW w:w="4360" w:type="dxa"/>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3999" w:type="dxa"/>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是否进入清算程序，或被宣告破产，或其他丧失履约能力的情形</w:t>
            </w:r>
          </w:p>
        </w:tc>
        <w:tc>
          <w:tcPr>
            <w:tcW w:w="4360" w:type="dxa"/>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trPr>
        <w:tc>
          <w:tcPr>
            <w:tcW w:w="3999" w:type="dxa"/>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是否在国家企业信用信息公示系统（http://www.gsxt.gov.cn）中被列入严重违法失信企业名单</w:t>
            </w:r>
          </w:p>
        </w:tc>
        <w:tc>
          <w:tcPr>
            <w:tcW w:w="4360" w:type="dxa"/>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trPr>
        <w:tc>
          <w:tcPr>
            <w:tcW w:w="3999" w:type="dxa"/>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是否在“信用中国”网站（http://www.creditchina.gov.cn）中被列入失信被执行人名单</w:t>
            </w:r>
          </w:p>
        </w:tc>
        <w:tc>
          <w:tcPr>
            <w:tcW w:w="4360" w:type="dxa"/>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trPr>
        <w:tc>
          <w:tcPr>
            <w:tcW w:w="3999" w:type="dxa"/>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是否在近三年内（自响应文件递交截止之日向前追溯3年）供应商或其法定代表人、拟委任的项目负责人有行贿犯罪行为</w:t>
            </w:r>
          </w:p>
        </w:tc>
        <w:tc>
          <w:tcPr>
            <w:tcW w:w="4360" w:type="dxa"/>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3999" w:type="dxa"/>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4360" w:type="dxa"/>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r>
    </w:tbl>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注：附相关印证材料。</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2240" w:firstLineChars="8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供应商：</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(盖单位章)</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3080" w:firstLineChars="1100"/>
        <w:jc w:val="left"/>
        <w:rPr>
          <w:rFonts w:ascii="仿宋_GB2312" w:hAnsi="仿宋_GB2312" w:eastAsia="仿宋_GB2312" w:cs="仿宋_GB2312"/>
          <w:sz w:val="28"/>
          <w:szCs w:val="28"/>
        </w:rPr>
      </w:pPr>
      <w:bookmarkStart w:id="265" w:name="_Toc24999_WPSOffice_Level1"/>
      <w:bookmarkStart w:id="266" w:name="_Toc1483_WPSOffice_Level1"/>
      <w:bookmarkStart w:id="267" w:name="_Toc2048_WPSOffice_Level1"/>
      <w:bookmarkStart w:id="268" w:name="_Toc23493_WPSOffice_Level1"/>
      <w:bookmarkStart w:id="269" w:name="_Toc31596_WPSOffice_Level1"/>
      <w:r>
        <w:rPr>
          <w:rFonts w:hint="eastAsia" w:ascii="仿宋_GB2312" w:hAnsi="仿宋_GB2312" w:eastAsia="仿宋_GB2312" w:cs="仿宋_GB2312"/>
          <w:sz w:val="28"/>
          <w:szCs w:val="28"/>
        </w:rPr>
        <w:t>七、</w:t>
      </w:r>
      <w:bookmarkEnd w:id="265"/>
      <w:bookmarkEnd w:id="266"/>
      <w:bookmarkEnd w:id="267"/>
      <w:bookmarkEnd w:id="268"/>
      <w:r>
        <w:rPr>
          <w:rFonts w:hint="eastAsia" w:ascii="仿宋_GB2312" w:hAnsi="仿宋_GB2312" w:eastAsia="仿宋_GB2312" w:cs="仿宋_GB2312"/>
          <w:sz w:val="28"/>
          <w:szCs w:val="28"/>
        </w:rPr>
        <w:t>技术方案</w:t>
      </w:r>
      <w:bookmarkEnd w:id="269"/>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供应商应按项目特点编制技术方案(文字宜精炼、内容具有针对性)。</w:t>
      </w:r>
    </w:p>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Fang Song">
    <w:altName w:val="宋体"/>
    <w:panose1 w:val="00000000000000000000"/>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jc w:val="center"/>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fGEK7rgEAAEsD&#10;AAAOAAAAAAAAAAEAIAAAAB4BAABkcnMvZTJvRG9jLnhtbFBLBQYAAAAABgAGAFkBAAA+BQAAAAA=&#10;">
          <v:path/>
          <v:fill on="f" focussize="0,0"/>
          <v:stroke on="f" joinstyle="miter"/>
          <v:imagedata o:title=""/>
          <o:lock v:ext="edit"/>
          <v:textbox inset="0mm,0mm,0mm,0mm" style="mso-fit-shape-to-text:t;">
            <w:txbxContent>
              <w:p>
                <w:pPr>
                  <w:pStyle w:val="14"/>
                  <w:ind w:firstLine="360"/>
                </w:pPr>
                <w:r>
                  <w:fldChar w:fldCharType="begin"/>
                </w:r>
                <w:r>
                  <w:instrText xml:space="preserve"> PAGE  \* MERGEFORMAT </w:instrText>
                </w:r>
                <w:r>
                  <w:fldChar w:fldCharType="separate"/>
                </w:r>
                <w:r>
                  <w:t>13</w:t>
                </w:r>
                <w:r>
                  <w:fldChar w:fldCharType="end"/>
                </w:r>
              </w:p>
            </w:txbxContent>
          </v:textbox>
        </v:shape>
      </w:pict>
    </w:r>
  </w:p>
  <w:p>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pict>
        <v:shape id="_x0000_s3074" o:spid="_x0000_s3074"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path/>
          <v:fill on="f" focussize="0,0"/>
          <v:stroke on="f" weight="0.5pt" joinstyle="miter"/>
          <v:imagedata o:title=""/>
          <o:lock v:ext="edit"/>
          <v:textbox inset="0mm,0mm,0mm,0mm" style="mso-fit-shape-to-text:t;">
            <w:txbxContent>
              <w:p>
                <w:pPr>
                  <w:jc w:val="center"/>
                </w:pPr>
                <w:r>
                  <w:fldChar w:fldCharType="begin"/>
                </w:r>
                <w:r>
                  <w:rPr>
                    <w:rStyle w:val="24"/>
                  </w:rPr>
                  <w:instrText xml:space="preserve"> PAGE </w:instrText>
                </w:r>
                <w:r>
                  <w:fldChar w:fldCharType="separate"/>
                </w:r>
                <w:r>
                  <w:rPr>
                    <w:rStyle w:val="24"/>
                  </w:rPr>
                  <w:t>40</w:t>
                </w:r>
                <w:r>
                  <w:fldChar w:fldCharType="end"/>
                </w:r>
              </w:p>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r>
      <w:pict>
        <v:shape id="_x0000_s3075" o:spid="_x0000_s3075"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7371jK8BAABL&#10;AwAADgAAAAAAAAABACAAAAAeAQAAZHJzL2Uyb0RvYy54bWxQSwUGAAAAAAYABgBZAQAAPwUAAAAA&#10;">
          <v:path/>
          <v:fill on="f" focussize="0,0"/>
          <v:stroke on="f" joinstyle="miter"/>
          <v:imagedata o:title=""/>
          <o:lock v:ext="edit"/>
          <v:textbox inset="0mm,0mm,0mm,0mm" style="mso-fit-shape-to-text:t;">
            <w:txbxContent>
              <w:p>
                <w:pPr>
                  <w:pStyle w:val="14"/>
                  <w:ind w:firstLine="360"/>
                </w:pPr>
                <w:r>
                  <w:fldChar w:fldCharType="begin"/>
                </w:r>
                <w:r>
                  <w:instrText xml:space="preserve"> PAGE  \* MERGEFORMAT </w:instrText>
                </w:r>
                <w:r>
                  <w:fldChar w:fldCharType="separate"/>
                </w:r>
                <w:r>
                  <w:t>44</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402"/>
        </w:tabs>
        <w:ind w:left="-402" w:firstLine="402"/>
      </w:pPr>
      <w:rPr>
        <w:rFonts w:hint="eastAsia"/>
      </w:rPr>
    </w:lvl>
    <w:lvl w:ilvl="1" w:tentative="0">
      <w:start w:val="1"/>
      <w:numFmt w:val="chineseCounting"/>
      <w:suff w:val="nothing"/>
      <w:lvlText w:val="%2、"/>
      <w:lvlJc w:val="left"/>
      <w:pPr>
        <w:ind w:left="-402" w:firstLine="402"/>
      </w:pPr>
      <w:rPr>
        <w:rFonts w:hint="eastAsia"/>
      </w:rPr>
    </w:lvl>
    <w:lvl w:ilvl="2" w:tentative="0">
      <w:start w:val="1"/>
      <w:numFmt w:val="decimal"/>
      <w:suff w:val="nothing"/>
      <w:lvlText w:val="%3．"/>
      <w:lvlJc w:val="left"/>
      <w:pPr>
        <w:ind w:left="-402" w:firstLine="402"/>
      </w:pPr>
      <w:rPr>
        <w:rFonts w:hint="eastAsia"/>
      </w:rPr>
    </w:lvl>
    <w:lvl w:ilvl="3" w:tentative="0">
      <w:start w:val="1"/>
      <w:numFmt w:val="decimal"/>
      <w:suff w:val="nothing"/>
      <w:lvlText w:val="（%4）"/>
      <w:lvlJc w:val="left"/>
      <w:pPr>
        <w:ind w:left="-402" w:firstLine="402"/>
      </w:pPr>
      <w:rPr>
        <w:rFonts w:hint="eastAsia"/>
      </w:rPr>
    </w:lvl>
    <w:lvl w:ilvl="4" w:tentative="0">
      <w:start w:val="1"/>
      <w:numFmt w:val="decimalEnclosedCircleChinese"/>
      <w:suff w:val="nothing"/>
      <w:lvlText w:val="%5 "/>
      <w:lvlJc w:val="left"/>
      <w:pPr>
        <w:ind w:left="-402" w:firstLine="402"/>
      </w:pPr>
      <w:rPr>
        <w:rFonts w:hint="eastAsia"/>
      </w:rPr>
    </w:lvl>
    <w:lvl w:ilvl="5" w:tentative="0">
      <w:start w:val="1"/>
      <w:numFmt w:val="decimal"/>
      <w:suff w:val="nothing"/>
      <w:lvlText w:val="%6）"/>
      <w:lvlJc w:val="left"/>
      <w:pPr>
        <w:ind w:left="-402" w:firstLine="402"/>
      </w:pPr>
      <w:rPr>
        <w:rFonts w:hint="eastAsia"/>
      </w:rPr>
    </w:lvl>
    <w:lvl w:ilvl="6" w:tentative="0">
      <w:start w:val="1"/>
      <w:numFmt w:val="lowerLetter"/>
      <w:suff w:val="nothing"/>
      <w:lvlText w:val="%7．"/>
      <w:lvlJc w:val="left"/>
      <w:pPr>
        <w:ind w:left="-402" w:firstLine="402"/>
      </w:pPr>
      <w:rPr>
        <w:rFonts w:hint="eastAsia"/>
      </w:rPr>
    </w:lvl>
    <w:lvl w:ilvl="7" w:tentative="0">
      <w:start w:val="1"/>
      <w:numFmt w:val="lowerLetter"/>
      <w:suff w:val="nothing"/>
      <w:lvlText w:val="%8）"/>
      <w:lvlJc w:val="left"/>
      <w:pPr>
        <w:ind w:left="-402" w:firstLine="402"/>
      </w:pPr>
      <w:rPr>
        <w:rFonts w:hint="eastAsia"/>
      </w:rPr>
    </w:lvl>
    <w:lvl w:ilvl="8" w:tentative="0">
      <w:start w:val="1"/>
      <w:numFmt w:val="lowerRoman"/>
      <w:suff w:val="nothing"/>
      <w:lvlText w:val="%9. "/>
      <w:lvlJc w:val="left"/>
      <w:pPr>
        <w:ind w:left="-402" w:firstLine="402"/>
      </w:pPr>
      <w:rPr>
        <w:rFonts w:hint="eastAsia"/>
      </w:rPr>
    </w:lvl>
  </w:abstractNum>
  <w:abstractNum w:abstractNumId="1">
    <w:nsid w:val="2E95D47B"/>
    <w:multiLevelType w:val="singleLevel"/>
    <w:tmpl w:val="2E95D47B"/>
    <w:lvl w:ilvl="0" w:tentative="0">
      <w:start w:val="1"/>
      <w:numFmt w:val="decimal"/>
      <w:pStyle w:val="3"/>
      <w:suff w:val="nothing"/>
      <w:lvlText w:val="%1．"/>
      <w:lvlJc w:val="left"/>
      <w:pPr>
        <w:ind w:left="17"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ZhYTA2YjQwZmEzNTkzMjU5N2YyODcyNDNiMTQyNjIifQ=="/>
  </w:docVars>
  <w:rsids>
    <w:rsidRoot w:val="00FB1A1E"/>
    <w:rsid w:val="00002307"/>
    <w:rsid w:val="00036A57"/>
    <w:rsid w:val="00060354"/>
    <w:rsid w:val="000C024B"/>
    <w:rsid w:val="00126DE8"/>
    <w:rsid w:val="001659E6"/>
    <w:rsid w:val="00181E45"/>
    <w:rsid w:val="001E32E4"/>
    <w:rsid w:val="002155C7"/>
    <w:rsid w:val="00216CE8"/>
    <w:rsid w:val="00286930"/>
    <w:rsid w:val="002E5C34"/>
    <w:rsid w:val="003C6A6E"/>
    <w:rsid w:val="004029A0"/>
    <w:rsid w:val="00466F51"/>
    <w:rsid w:val="00475DC6"/>
    <w:rsid w:val="00477BBC"/>
    <w:rsid w:val="004932B8"/>
    <w:rsid w:val="004C2FC8"/>
    <w:rsid w:val="004F32ED"/>
    <w:rsid w:val="00512041"/>
    <w:rsid w:val="0051661C"/>
    <w:rsid w:val="005558A9"/>
    <w:rsid w:val="00560A75"/>
    <w:rsid w:val="005B1C62"/>
    <w:rsid w:val="006108D0"/>
    <w:rsid w:val="00622B78"/>
    <w:rsid w:val="00774C23"/>
    <w:rsid w:val="007904B8"/>
    <w:rsid w:val="007F0E50"/>
    <w:rsid w:val="008363A5"/>
    <w:rsid w:val="008C1D72"/>
    <w:rsid w:val="00966642"/>
    <w:rsid w:val="00A26E61"/>
    <w:rsid w:val="00A55A81"/>
    <w:rsid w:val="00AB7176"/>
    <w:rsid w:val="00AE1115"/>
    <w:rsid w:val="00AF0DA2"/>
    <w:rsid w:val="00B56F3C"/>
    <w:rsid w:val="00C15784"/>
    <w:rsid w:val="00C85262"/>
    <w:rsid w:val="00D242E2"/>
    <w:rsid w:val="00D3498E"/>
    <w:rsid w:val="00DD0291"/>
    <w:rsid w:val="00DE0BB4"/>
    <w:rsid w:val="00F43DE7"/>
    <w:rsid w:val="00F4686A"/>
    <w:rsid w:val="00F55916"/>
    <w:rsid w:val="00FA1044"/>
    <w:rsid w:val="00FB1A1E"/>
    <w:rsid w:val="00FD2626"/>
    <w:rsid w:val="01082DCE"/>
    <w:rsid w:val="01196377"/>
    <w:rsid w:val="011A27E6"/>
    <w:rsid w:val="011B4B0A"/>
    <w:rsid w:val="011D6ED0"/>
    <w:rsid w:val="013C7065"/>
    <w:rsid w:val="014D641B"/>
    <w:rsid w:val="01577B0C"/>
    <w:rsid w:val="01604B65"/>
    <w:rsid w:val="01631629"/>
    <w:rsid w:val="016A3995"/>
    <w:rsid w:val="01767A67"/>
    <w:rsid w:val="018B2605"/>
    <w:rsid w:val="019312E0"/>
    <w:rsid w:val="0195715E"/>
    <w:rsid w:val="019D2FC7"/>
    <w:rsid w:val="019D307B"/>
    <w:rsid w:val="019E058F"/>
    <w:rsid w:val="01B82FCB"/>
    <w:rsid w:val="01BC5540"/>
    <w:rsid w:val="01CE4B6E"/>
    <w:rsid w:val="01DE5285"/>
    <w:rsid w:val="01E22FC9"/>
    <w:rsid w:val="01ED4448"/>
    <w:rsid w:val="02047B14"/>
    <w:rsid w:val="020F1C5F"/>
    <w:rsid w:val="021A334D"/>
    <w:rsid w:val="02241CA7"/>
    <w:rsid w:val="022C0382"/>
    <w:rsid w:val="022D7E5C"/>
    <w:rsid w:val="02454DC6"/>
    <w:rsid w:val="02460711"/>
    <w:rsid w:val="024B086A"/>
    <w:rsid w:val="024C3FDE"/>
    <w:rsid w:val="024F6B00"/>
    <w:rsid w:val="02512C8A"/>
    <w:rsid w:val="0252437C"/>
    <w:rsid w:val="025C2FF3"/>
    <w:rsid w:val="0260580C"/>
    <w:rsid w:val="026F50F7"/>
    <w:rsid w:val="0292228F"/>
    <w:rsid w:val="029D3473"/>
    <w:rsid w:val="02A843B9"/>
    <w:rsid w:val="02AF018D"/>
    <w:rsid w:val="02B17534"/>
    <w:rsid w:val="02C148EA"/>
    <w:rsid w:val="02D27E7C"/>
    <w:rsid w:val="02F11F86"/>
    <w:rsid w:val="03087A0B"/>
    <w:rsid w:val="031402A0"/>
    <w:rsid w:val="031560B1"/>
    <w:rsid w:val="03403219"/>
    <w:rsid w:val="03530EF0"/>
    <w:rsid w:val="03666726"/>
    <w:rsid w:val="036A6013"/>
    <w:rsid w:val="036B0042"/>
    <w:rsid w:val="03921536"/>
    <w:rsid w:val="03957CCA"/>
    <w:rsid w:val="03AF72EA"/>
    <w:rsid w:val="03BA168E"/>
    <w:rsid w:val="03D7138C"/>
    <w:rsid w:val="03DE0776"/>
    <w:rsid w:val="03DE6BBF"/>
    <w:rsid w:val="03EA0F31"/>
    <w:rsid w:val="03EC548F"/>
    <w:rsid w:val="03FB6B06"/>
    <w:rsid w:val="04233E93"/>
    <w:rsid w:val="04295DA0"/>
    <w:rsid w:val="04352FAD"/>
    <w:rsid w:val="043A5D75"/>
    <w:rsid w:val="04533F12"/>
    <w:rsid w:val="046B7205"/>
    <w:rsid w:val="047B3AB4"/>
    <w:rsid w:val="047C0CFA"/>
    <w:rsid w:val="047C234D"/>
    <w:rsid w:val="048328A9"/>
    <w:rsid w:val="04A52713"/>
    <w:rsid w:val="04A61CAB"/>
    <w:rsid w:val="04B66E9B"/>
    <w:rsid w:val="04DF02F5"/>
    <w:rsid w:val="04EA65EC"/>
    <w:rsid w:val="04F54297"/>
    <w:rsid w:val="04F76AAC"/>
    <w:rsid w:val="04F95D73"/>
    <w:rsid w:val="050022AA"/>
    <w:rsid w:val="05052F1F"/>
    <w:rsid w:val="05153345"/>
    <w:rsid w:val="05162632"/>
    <w:rsid w:val="053A3071"/>
    <w:rsid w:val="05474D67"/>
    <w:rsid w:val="057351EA"/>
    <w:rsid w:val="059761EF"/>
    <w:rsid w:val="059F2433"/>
    <w:rsid w:val="05A12F8F"/>
    <w:rsid w:val="05A6298E"/>
    <w:rsid w:val="05B16949"/>
    <w:rsid w:val="05C614B1"/>
    <w:rsid w:val="05CE4224"/>
    <w:rsid w:val="05EC3DBF"/>
    <w:rsid w:val="05F90297"/>
    <w:rsid w:val="060C39DD"/>
    <w:rsid w:val="061006D5"/>
    <w:rsid w:val="06227012"/>
    <w:rsid w:val="06291D77"/>
    <w:rsid w:val="062929E2"/>
    <w:rsid w:val="064B1FD0"/>
    <w:rsid w:val="06510831"/>
    <w:rsid w:val="0655574A"/>
    <w:rsid w:val="066756C3"/>
    <w:rsid w:val="066E7995"/>
    <w:rsid w:val="0671119D"/>
    <w:rsid w:val="068C07A0"/>
    <w:rsid w:val="069C2279"/>
    <w:rsid w:val="06C75E0F"/>
    <w:rsid w:val="06CD2659"/>
    <w:rsid w:val="06D9617D"/>
    <w:rsid w:val="06E209B7"/>
    <w:rsid w:val="06EE5449"/>
    <w:rsid w:val="070C6F8B"/>
    <w:rsid w:val="071D3AEF"/>
    <w:rsid w:val="071F775B"/>
    <w:rsid w:val="0725414F"/>
    <w:rsid w:val="073E4D0F"/>
    <w:rsid w:val="07526208"/>
    <w:rsid w:val="07914D92"/>
    <w:rsid w:val="07B602B6"/>
    <w:rsid w:val="07C93DD2"/>
    <w:rsid w:val="07F10BD9"/>
    <w:rsid w:val="07F33261"/>
    <w:rsid w:val="07FB3039"/>
    <w:rsid w:val="07FC2047"/>
    <w:rsid w:val="080A4F8B"/>
    <w:rsid w:val="081D312D"/>
    <w:rsid w:val="08290DFC"/>
    <w:rsid w:val="082D031A"/>
    <w:rsid w:val="083227D0"/>
    <w:rsid w:val="083E61F6"/>
    <w:rsid w:val="08441F41"/>
    <w:rsid w:val="0871359F"/>
    <w:rsid w:val="08762289"/>
    <w:rsid w:val="088909C5"/>
    <w:rsid w:val="08A45B58"/>
    <w:rsid w:val="08A75E9F"/>
    <w:rsid w:val="08B51EFD"/>
    <w:rsid w:val="08B619FD"/>
    <w:rsid w:val="08C060C2"/>
    <w:rsid w:val="08C520FD"/>
    <w:rsid w:val="08C644EB"/>
    <w:rsid w:val="08CB31B1"/>
    <w:rsid w:val="08DE0702"/>
    <w:rsid w:val="08E36B16"/>
    <w:rsid w:val="08EB2A28"/>
    <w:rsid w:val="09033D88"/>
    <w:rsid w:val="091033C7"/>
    <w:rsid w:val="092454AE"/>
    <w:rsid w:val="093C19D9"/>
    <w:rsid w:val="094350D2"/>
    <w:rsid w:val="09520EC1"/>
    <w:rsid w:val="09522E65"/>
    <w:rsid w:val="096126C2"/>
    <w:rsid w:val="09904735"/>
    <w:rsid w:val="09A1577F"/>
    <w:rsid w:val="09B1743D"/>
    <w:rsid w:val="09BF3C5F"/>
    <w:rsid w:val="09EC3543"/>
    <w:rsid w:val="0A017749"/>
    <w:rsid w:val="0A0322F3"/>
    <w:rsid w:val="0A163D1F"/>
    <w:rsid w:val="0A31325F"/>
    <w:rsid w:val="0A433EA3"/>
    <w:rsid w:val="0A4C0A53"/>
    <w:rsid w:val="0A51009F"/>
    <w:rsid w:val="0A562E5C"/>
    <w:rsid w:val="0A595E3B"/>
    <w:rsid w:val="0A5A1EC1"/>
    <w:rsid w:val="0A605AAD"/>
    <w:rsid w:val="0A6D4428"/>
    <w:rsid w:val="0A70103F"/>
    <w:rsid w:val="0A830A8F"/>
    <w:rsid w:val="0ADB488F"/>
    <w:rsid w:val="0ADF4740"/>
    <w:rsid w:val="0AF404CA"/>
    <w:rsid w:val="0AFA0A20"/>
    <w:rsid w:val="0B237F0C"/>
    <w:rsid w:val="0B25655D"/>
    <w:rsid w:val="0B3B41A4"/>
    <w:rsid w:val="0B466158"/>
    <w:rsid w:val="0B5B649B"/>
    <w:rsid w:val="0B765704"/>
    <w:rsid w:val="0B7D0BA2"/>
    <w:rsid w:val="0B831417"/>
    <w:rsid w:val="0B976282"/>
    <w:rsid w:val="0BAA0921"/>
    <w:rsid w:val="0BAB4B61"/>
    <w:rsid w:val="0BBE3C8E"/>
    <w:rsid w:val="0BD377EA"/>
    <w:rsid w:val="0BD75140"/>
    <w:rsid w:val="0BD821CA"/>
    <w:rsid w:val="0BE00F68"/>
    <w:rsid w:val="0BE5725B"/>
    <w:rsid w:val="0C0A4650"/>
    <w:rsid w:val="0C122E87"/>
    <w:rsid w:val="0C142061"/>
    <w:rsid w:val="0C25115F"/>
    <w:rsid w:val="0C30164C"/>
    <w:rsid w:val="0C4909C1"/>
    <w:rsid w:val="0C54553C"/>
    <w:rsid w:val="0C6153DA"/>
    <w:rsid w:val="0C680BDD"/>
    <w:rsid w:val="0C715D36"/>
    <w:rsid w:val="0C72723E"/>
    <w:rsid w:val="0C8830F0"/>
    <w:rsid w:val="0C915D6B"/>
    <w:rsid w:val="0C9F0011"/>
    <w:rsid w:val="0CA8035A"/>
    <w:rsid w:val="0CAD361F"/>
    <w:rsid w:val="0CAD70A0"/>
    <w:rsid w:val="0CCA7A68"/>
    <w:rsid w:val="0CD4664B"/>
    <w:rsid w:val="0CDE4DB9"/>
    <w:rsid w:val="0CDF7DAA"/>
    <w:rsid w:val="0CE45ABA"/>
    <w:rsid w:val="0CE55D2A"/>
    <w:rsid w:val="0CEA1161"/>
    <w:rsid w:val="0D0A5546"/>
    <w:rsid w:val="0D0E1A16"/>
    <w:rsid w:val="0D10611A"/>
    <w:rsid w:val="0D204464"/>
    <w:rsid w:val="0D245D5D"/>
    <w:rsid w:val="0D2A5D78"/>
    <w:rsid w:val="0D643C93"/>
    <w:rsid w:val="0D840310"/>
    <w:rsid w:val="0D935001"/>
    <w:rsid w:val="0DA75F7E"/>
    <w:rsid w:val="0DB82790"/>
    <w:rsid w:val="0DBB7BC8"/>
    <w:rsid w:val="0DCE19B4"/>
    <w:rsid w:val="0DF7682F"/>
    <w:rsid w:val="0E0D702D"/>
    <w:rsid w:val="0E14052A"/>
    <w:rsid w:val="0E1B588D"/>
    <w:rsid w:val="0E265F28"/>
    <w:rsid w:val="0E2873E9"/>
    <w:rsid w:val="0E431A3B"/>
    <w:rsid w:val="0E4E053A"/>
    <w:rsid w:val="0E744B2D"/>
    <w:rsid w:val="0E8D05E0"/>
    <w:rsid w:val="0E9B3C63"/>
    <w:rsid w:val="0EB11146"/>
    <w:rsid w:val="0EB4636E"/>
    <w:rsid w:val="0EB75DCA"/>
    <w:rsid w:val="0EC81177"/>
    <w:rsid w:val="0ED12EB4"/>
    <w:rsid w:val="0ED16605"/>
    <w:rsid w:val="0ED97B37"/>
    <w:rsid w:val="0EE3071C"/>
    <w:rsid w:val="0EED2DF2"/>
    <w:rsid w:val="0EF83DB8"/>
    <w:rsid w:val="0F0245A0"/>
    <w:rsid w:val="0F401FA4"/>
    <w:rsid w:val="0F4F57E8"/>
    <w:rsid w:val="0F6C3B60"/>
    <w:rsid w:val="0F6F6315"/>
    <w:rsid w:val="0F7150A0"/>
    <w:rsid w:val="0F7A125F"/>
    <w:rsid w:val="0F9C5A1A"/>
    <w:rsid w:val="0FB81B5B"/>
    <w:rsid w:val="0FD00E8A"/>
    <w:rsid w:val="0FE65A61"/>
    <w:rsid w:val="10090199"/>
    <w:rsid w:val="100E3DC6"/>
    <w:rsid w:val="10151F12"/>
    <w:rsid w:val="10337DDD"/>
    <w:rsid w:val="103656D1"/>
    <w:rsid w:val="103C7917"/>
    <w:rsid w:val="10564A8B"/>
    <w:rsid w:val="1058602D"/>
    <w:rsid w:val="10795C93"/>
    <w:rsid w:val="108B3AFA"/>
    <w:rsid w:val="10920DE3"/>
    <w:rsid w:val="10B15280"/>
    <w:rsid w:val="10CC2A8E"/>
    <w:rsid w:val="10CF164C"/>
    <w:rsid w:val="10D50461"/>
    <w:rsid w:val="10E24CD8"/>
    <w:rsid w:val="10F15163"/>
    <w:rsid w:val="10F26CDC"/>
    <w:rsid w:val="11163C77"/>
    <w:rsid w:val="1139732F"/>
    <w:rsid w:val="113E42C0"/>
    <w:rsid w:val="114A7510"/>
    <w:rsid w:val="114C67B8"/>
    <w:rsid w:val="115A53BC"/>
    <w:rsid w:val="11696085"/>
    <w:rsid w:val="117A2D8F"/>
    <w:rsid w:val="118E75B9"/>
    <w:rsid w:val="1194155A"/>
    <w:rsid w:val="119C1623"/>
    <w:rsid w:val="11AB3509"/>
    <w:rsid w:val="11B5299E"/>
    <w:rsid w:val="11E52624"/>
    <w:rsid w:val="11E8124D"/>
    <w:rsid w:val="11EE778A"/>
    <w:rsid w:val="11F9333E"/>
    <w:rsid w:val="11FE31AD"/>
    <w:rsid w:val="12052B91"/>
    <w:rsid w:val="121466AA"/>
    <w:rsid w:val="122B6577"/>
    <w:rsid w:val="12343761"/>
    <w:rsid w:val="123756D1"/>
    <w:rsid w:val="123B7167"/>
    <w:rsid w:val="124E5F2C"/>
    <w:rsid w:val="12597E87"/>
    <w:rsid w:val="125B3739"/>
    <w:rsid w:val="126943EE"/>
    <w:rsid w:val="12865675"/>
    <w:rsid w:val="129A697A"/>
    <w:rsid w:val="12C6189A"/>
    <w:rsid w:val="12CE785B"/>
    <w:rsid w:val="12D16BCB"/>
    <w:rsid w:val="12DC2AAB"/>
    <w:rsid w:val="12E74E3F"/>
    <w:rsid w:val="12ED7F8F"/>
    <w:rsid w:val="12F04674"/>
    <w:rsid w:val="12FE1AE7"/>
    <w:rsid w:val="13190BA4"/>
    <w:rsid w:val="13293F8A"/>
    <w:rsid w:val="132A5815"/>
    <w:rsid w:val="13356A71"/>
    <w:rsid w:val="133775BD"/>
    <w:rsid w:val="134854F2"/>
    <w:rsid w:val="13594F2D"/>
    <w:rsid w:val="13603696"/>
    <w:rsid w:val="13714DE1"/>
    <w:rsid w:val="13826E16"/>
    <w:rsid w:val="13A70B15"/>
    <w:rsid w:val="13B72E13"/>
    <w:rsid w:val="13BA32C6"/>
    <w:rsid w:val="13DE4A24"/>
    <w:rsid w:val="13E62450"/>
    <w:rsid w:val="13EA3CA6"/>
    <w:rsid w:val="13ED0FCF"/>
    <w:rsid w:val="14003B68"/>
    <w:rsid w:val="14077165"/>
    <w:rsid w:val="140A4876"/>
    <w:rsid w:val="14231FAC"/>
    <w:rsid w:val="14264818"/>
    <w:rsid w:val="145378D4"/>
    <w:rsid w:val="1463315F"/>
    <w:rsid w:val="14664519"/>
    <w:rsid w:val="146F09C5"/>
    <w:rsid w:val="1471613E"/>
    <w:rsid w:val="147441B4"/>
    <w:rsid w:val="14745B8C"/>
    <w:rsid w:val="14832530"/>
    <w:rsid w:val="14936D19"/>
    <w:rsid w:val="14F33B67"/>
    <w:rsid w:val="151E62FD"/>
    <w:rsid w:val="151F03B5"/>
    <w:rsid w:val="153A65BE"/>
    <w:rsid w:val="15422B45"/>
    <w:rsid w:val="15575BC9"/>
    <w:rsid w:val="156629A4"/>
    <w:rsid w:val="156A38D6"/>
    <w:rsid w:val="1584295D"/>
    <w:rsid w:val="158735B1"/>
    <w:rsid w:val="15895244"/>
    <w:rsid w:val="158D63E0"/>
    <w:rsid w:val="159E013D"/>
    <w:rsid w:val="15B33C82"/>
    <w:rsid w:val="15B97440"/>
    <w:rsid w:val="15BA0961"/>
    <w:rsid w:val="15BC6BCB"/>
    <w:rsid w:val="15D32868"/>
    <w:rsid w:val="15D728FF"/>
    <w:rsid w:val="15EE1192"/>
    <w:rsid w:val="15EF0CF0"/>
    <w:rsid w:val="15FD0081"/>
    <w:rsid w:val="161713B9"/>
    <w:rsid w:val="162117F2"/>
    <w:rsid w:val="163D38BD"/>
    <w:rsid w:val="164432FC"/>
    <w:rsid w:val="165E6C84"/>
    <w:rsid w:val="166867F9"/>
    <w:rsid w:val="16746A12"/>
    <w:rsid w:val="16763172"/>
    <w:rsid w:val="167E2633"/>
    <w:rsid w:val="168431DE"/>
    <w:rsid w:val="168C763B"/>
    <w:rsid w:val="1690501F"/>
    <w:rsid w:val="169809F7"/>
    <w:rsid w:val="16B22F9A"/>
    <w:rsid w:val="16D147CF"/>
    <w:rsid w:val="16DB2D50"/>
    <w:rsid w:val="16DE5569"/>
    <w:rsid w:val="16E8299C"/>
    <w:rsid w:val="16EA68FF"/>
    <w:rsid w:val="16F40010"/>
    <w:rsid w:val="16FB1042"/>
    <w:rsid w:val="17096A52"/>
    <w:rsid w:val="170A608F"/>
    <w:rsid w:val="17176EC0"/>
    <w:rsid w:val="171A22E9"/>
    <w:rsid w:val="173213AE"/>
    <w:rsid w:val="1735048C"/>
    <w:rsid w:val="173C70F5"/>
    <w:rsid w:val="174206F3"/>
    <w:rsid w:val="174D0A04"/>
    <w:rsid w:val="1761165F"/>
    <w:rsid w:val="176B4C2E"/>
    <w:rsid w:val="1782319E"/>
    <w:rsid w:val="178875ED"/>
    <w:rsid w:val="17912DBB"/>
    <w:rsid w:val="179E2BB2"/>
    <w:rsid w:val="17A31E57"/>
    <w:rsid w:val="17A41A09"/>
    <w:rsid w:val="17BE7705"/>
    <w:rsid w:val="17D11544"/>
    <w:rsid w:val="17DE1931"/>
    <w:rsid w:val="17E43CA4"/>
    <w:rsid w:val="17EE1C5D"/>
    <w:rsid w:val="17FA7F03"/>
    <w:rsid w:val="1803234F"/>
    <w:rsid w:val="181639B8"/>
    <w:rsid w:val="181F7B0D"/>
    <w:rsid w:val="184D7361"/>
    <w:rsid w:val="18611ADF"/>
    <w:rsid w:val="18660D83"/>
    <w:rsid w:val="188F0361"/>
    <w:rsid w:val="18926684"/>
    <w:rsid w:val="18A123C1"/>
    <w:rsid w:val="18A34D8C"/>
    <w:rsid w:val="18AB1F05"/>
    <w:rsid w:val="18AD0BE1"/>
    <w:rsid w:val="18B619A6"/>
    <w:rsid w:val="18BB43F9"/>
    <w:rsid w:val="18BD2A66"/>
    <w:rsid w:val="18C13AC1"/>
    <w:rsid w:val="18D119EE"/>
    <w:rsid w:val="18D20325"/>
    <w:rsid w:val="190524A1"/>
    <w:rsid w:val="19111C94"/>
    <w:rsid w:val="193809C2"/>
    <w:rsid w:val="194361A3"/>
    <w:rsid w:val="194C49C1"/>
    <w:rsid w:val="194E641E"/>
    <w:rsid w:val="19651738"/>
    <w:rsid w:val="196F6521"/>
    <w:rsid w:val="198365E2"/>
    <w:rsid w:val="19976995"/>
    <w:rsid w:val="19A25875"/>
    <w:rsid w:val="19AD185B"/>
    <w:rsid w:val="19B044DF"/>
    <w:rsid w:val="19CF6B95"/>
    <w:rsid w:val="19E2730A"/>
    <w:rsid w:val="19E4327F"/>
    <w:rsid w:val="19FA5475"/>
    <w:rsid w:val="19FC6A1D"/>
    <w:rsid w:val="1A110767"/>
    <w:rsid w:val="1A186807"/>
    <w:rsid w:val="1A1964F4"/>
    <w:rsid w:val="1A3F329F"/>
    <w:rsid w:val="1A5669EE"/>
    <w:rsid w:val="1A576AE8"/>
    <w:rsid w:val="1A5953F5"/>
    <w:rsid w:val="1A613F40"/>
    <w:rsid w:val="1A6450AE"/>
    <w:rsid w:val="1A6F3D1D"/>
    <w:rsid w:val="1A742AE7"/>
    <w:rsid w:val="1A844A57"/>
    <w:rsid w:val="1A851E5E"/>
    <w:rsid w:val="1A976D8E"/>
    <w:rsid w:val="1A9A00BD"/>
    <w:rsid w:val="1A9F3526"/>
    <w:rsid w:val="1AB60854"/>
    <w:rsid w:val="1AB62259"/>
    <w:rsid w:val="1ABA28A5"/>
    <w:rsid w:val="1ADB5923"/>
    <w:rsid w:val="1ADF24BC"/>
    <w:rsid w:val="1AFB2F34"/>
    <w:rsid w:val="1B0F394D"/>
    <w:rsid w:val="1B111758"/>
    <w:rsid w:val="1B142E41"/>
    <w:rsid w:val="1B1C4A6C"/>
    <w:rsid w:val="1B1F0131"/>
    <w:rsid w:val="1B2372F3"/>
    <w:rsid w:val="1B2709C3"/>
    <w:rsid w:val="1B2C2EBB"/>
    <w:rsid w:val="1B300A8F"/>
    <w:rsid w:val="1B3028D7"/>
    <w:rsid w:val="1B344A57"/>
    <w:rsid w:val="1B364075"/>
    <w:rsid w:val="1B387860"/>
    <w:rsid w:val="1B45242F"/>
    <w:rsid w:val="1B5A266B"/>
    <w:rsid w:val="1B6F3157"/>
    <w:rsid w:val="1B745152"/>
    <w:rsid w:val="1B763A15"/>
    <w:rsid w:val="1B8B16E4"/>
    <w:rsid w:val="1B941FF2"/>
    <w:rsid w:val="1BB91E00"/>
    <w:rsid w:val="1BBC5480"/>
    <w:rsid w:val="1BC0329E"/>
    <w:rsid w:val="1BC863D0"/>
    <w:rsid w:val="1BE55D12"/>
    <w:rsid w:val="1BEF1A51"/>
    <w:rsid w:val="1C01157A"/>
    <w:rsid w:val="1C337FF5"/>
    <w:rsid w:val="1C3B4532"/>
    <w:rsid w:val="1C3F63C6"/>
    <w:rsid w:val="1C495A9B"/>
    <w:rsid w:val="1C4A4F18"/>
    <w:rsid w:val="1C4C62F2"/>
    <w:rsid w:val="1C530463"/>
    <w:rsid w:val="1C6063BC"/>
    <w:rsid w:val="1C677760"/>
    <w:rsid w:val="1C683848"/>
    <w:rsid w:val="1C8342C9"/>
    <w:rsid w:val="1C835541"/>
    <w:rsid w:val="1CA63F16"/>
    <w:rsid w:val="1CB63D17"/>
    <w:rsid w:val="1CBE15B8"/>
    <w:rsid w:val="1CC70AAE"/>
    <w:rsid w:val="1CF93C71"/>
    <w:rsid w:val="1CF97B60"/>
    <w:rsid w:val="1D030883"/>
    <w:rsid w:val="1D1D75F2"/>
    <w:rsid w:val="1D2213D4"/>
    <w:rsid w:val="1D4A7E59"/>
    <w:rsid w:val="1D5039A9"/>
    <w:rsid w:val="1D670B14"/>
    <w:rsid w:val="1D924EB5"/>
    <w:rsid w:val="1D997664"/>
    <w:rsid w:val="1D9F65B1"/>
    <w:rsid w:val="1DA002EB"/>
    <w:rsid w:val="1DD46AB7"/>
    <w:rsid w:val="1DD7785D"/>
    <w:rsid w:val="1DE0242C"/>
    <w:rsid w:val="1DE02E8C"/>
    <w:rsid w:val="1DE46EDC"/>
    <w:rsid w:val="1DFB418B"/>
    <w:rsid w:val="1E061D8D"/>
    <w:rsid w:val="1E1510B3"/>
    <w:rsid w:val="1E1B06D7"/>
    <w:rsid w:val="1E1D003B"/>
    <w:rsid w:val="1E2A636A"/>
    <w:rsid w:val="1E2B5895"/>
    <w:rsid w:val="1E3F71AC"/>
    <w:rsid w:val="1E407FC7"/>
    <w:rsid w:val="1E484768"/>
    <w:rsid w:val="1E4946FB"/>
    <w:rsid w:val="1E4A65BA"/>
    <w:rsid w:val="1E506677"/>
    <w:rsid w:val="1E5A2DA3"/>
    <w:rsid w:val="1E611165"/>
    <w:rsid w:val="1E6C6427"/>
    <w:rsid w:val="1E737077"/>
    <w:rsid w:val="1E7646AA"/>
    <w:rsid w:val="1E843C3C"/>
    <w:rsid w:val="1E8F3E3B"/>
    <w:rsid w:val="1E965D04"/>
    <w:rsid w:val="1EA26379"/>
    <w:rsid w:val="1EB82FA6"/>
    <w:rsid w:val="1EC13239"/>
    <w:rsid w:val="1ED352F2"/>
    <w:rsid w:val="1ED920BE"/>
    <w:rsid w:val="1EE265E4"/>
    <w:rsid w:val="1EF7470E"/>
    <w:rsid w:val="1F05265B"/>
    <w:rsid w:val="1F073AFB"/>
    <w:rsid w:val="1F0E2E4B"/>
    <w:rsid w:val="1F1068A9"/>
    <w:rsid w:val="1F11207D"/>
    <w:rsid w:val="1F3309E4"/>
    <w:rsid w:val="1F3C6344"/>
    <w:rsid w:val="1F5435CA"/>
    <w:rsid w:val="1F546D45"/>
    <w:rsid w:val="1F6A639E"/>
    <w:rsid w:val="1F8132C8"/>
    <w:rsid w:val="1FA02744"/>
    <w:rsid w:val="1FAC011C"/>
    <w:rsid w:val="1FC24714"/>
    <w:rsid w:val="1FCC3990"/>
    <w:rsid w:val="1FF1330E"/>
    <w:rsid w:val="200C298F"/>
    <w:rsid w:val="201C54FE"/>
    <w:rsid w:val="202A4D90"/>
    <w:rsid w:val="20435529"/>
    <w:rsid w:val="204D7473"/>
    <w:rsid w:val="20517E69"/>
    <w:rsid w:val="20530F08"/>
    <w:rsid w:val="2066350B"/>
    <w:rsid w:val="208701DC"/>
    <w:rsid w:val="20942936"/>
    <w:rsid w:val="20AD1511"/>
    <w:rsid w:val="20AE71CD"/>
    <w:rsid w:val="20C75587"/>
    <w:rsid w:val="20D91546"/>
    <w:rsid w:val="20DD7EA1"/>
    <w:rsid w:val="20EC6F0D"/>
    <w:rsid w:val="20EF3849"/>
    <w:rsid w:val="21114D59"/>
    <w:rsid w:val="212707FC"/>
    <w:rsid w:val="212F3984"/>
    <w:rsid w:val="216D73A5"/>
    <w:rsid w:val="2181475C"/>
    <w:rsid w:val="218D6398"/>
    <w:rsid w:val="21B252A5"/>
    <w:rsid w:val="21C614F6"/>
    <w:rsid w:val="21D57E5D"/>
    <w:rsid w:val="220B38D3"/>
    <w:rsid w:val="220F27AB"/>
    <w:rsid w:val="223029AE"/>
    <w:rsid w:val="224B1241"/>
    <w:rsid w:val="22565E31"/>
    <w:rsid w:val="226C24D9"/>
    <w:rsid w:val="227540C8"/>
    <w:rsid w:val="22976978"/>
    <w:rsid w:val="22C438D9"/>
    <w:rsid w:val="22C90127"/>
    <w:rsid w:val="22D008F7"/>
    <w:rsid w:val="22D42D6B"/>
    <w:rsid w:val="22DF2BFC"/>
    <w:rsid w:val="22DF5D82"/>
    <w:rsid w:val="22E9418C"/>
    <w:rsid w:val="22FD581D"/>
    <w:rsid w:val="231A6446"/>
    <w:rsid w:val="23200D04"/>
    <w:rsid w:val="23223611"/>
    <w:rsid w:val="23252F62"/>
    <w:rsid w:val="2329015A"/>
    <w:rsid w:val="233D41F6"/>
    <w:rsid w:val="233E1D9D"/>
    <w:rsid w:val="235A23F9"/>
    <w:rsid w:val="235B5775"/>
    <w:rsid w:val="23690BF3"/>
    <w:rsid w:val="238A746E"/>
    <w:rsid w:val="23A70DB3"/>
    <w:rsid w:val="23D003FB"/>
    <w:rsid w:val="23D24A3D"/>
    <w:rsid w:val="23D931AB"/>
    <w:rsid w:val="23E06FF0"/>
    <w:rsid w:val="23F00076"/>
    <w:rsid w:val="23F26B67"/>
    <w:rsid w:val="24321DFA"/>
    <w:rsid w:val="24530C8F"/>
    <w:rsid w:val="24536246"/>
    <w:rsid w:val="24636547"/>
    <w:rsid w:val="24717D47"/>
    <w:rsid w:val="249C788A"/>
    <w:rsid w:val="24B82B32"/>
    <w:rsid w:val="24BB6D5B"/>
    <w:rsid w:val="24D65B3E"/>
    <w:rsid w:val="24DC6375"/>
    <w:rsid w:val="24E10CD4"/>
    <w:rsid w:val="24F755BB"/>
    <w:rsid w:val="24FA5375"/>
    <w:rsid w:val="25167458"/>
    <w:rsid w:val="251E581D"/>
    <w:rsid w:val="252A368C"/>
    <w:rsid w:val="253317B8"/>
    <w:rsid w:val="2537641D"/>
    <w:rsid w:val="253C3EF7"/>
    <w:rsid w:val="25541343"/>
    <w:rsid w:val="2558795E"/>
    <w:rsid w:val="255E089E"/>
    <w:rsid w:val="257F5882"/>
    <w:rsid w:val="2582151B"/>
    <w:rsid w:val="258D4FA9"/>
    <w:rsid w:val="259027AB"/>
    <w:rsid w:val="25987884"/>
    <w:rsid w:val="25BF330D"/>
    <w:rsid w:val="25C27A7C"/>
    <w:rsid w:val="25C76039"/>
    <w:rsid w:val="25E31DB1"/>
    <w:rsid w:val="25F341F9"/>
    <w:rsid w:val="25FD4EFD"/>
    <w:rsid w:val="2603678D"/>
    <w:rsid w:val="26050C41"/>
    <w:rsid w:val="261A0D6A"/>
    <w:rsid w:val="26355753"/>
    <w:rsid w:val="263F4733"/>
    <w:rsid w:val="264826D8"/>
    <w:rsid w:val="26486C62"/>
    <w:rsid w:val="26581526"/>
    <w:rsid w:val="265F6213"/>
    <w:rsid w:val="26845C6C"/>
    <w:rsid w:val="26873841"/>
    <w:rsid w:val="26900346"/>
    <w:rsid w:val="269408C3"/>
    <w:rsid w:val="26A244E0"/>
    <w:rsid w:val="26AF5A72"/>
    <w:rsid w:val="26BE55EA"/>
    <w:rsid w:val="26C35476"/>
    <w:rsid w:val="26C762DB"/>
    <w:rsid w:val="26DC20E5"/>
    <w:rsid w:val="26F16A53"/>
    <w:rsid w:val="26F97745"/>
    <w:rsid w:val="270E3585"/>
    <w:rsid w:val="273F28D1"/>
    <w:rsid w:val="274B353E"/>
    <w:rsid w:val="27524FD4"/>
    <w:rsid w:val="275319F4"/>
    <w:rsid w:val="27613BAA"/>
    <w:rsid w:val="276A2C20"/>
    <w:rsid w:val="276E6872"/>
    <w:rsid w:val="2773066C"/>
    <w:rsid w:val="278E3101"/>
    <w:rsid w:val="27941CFF"/>
    <w:rsid w:val="27A23BE8"/>
    <w:rsid w:val="27A3632C"/>
    <w:rsid w:val="27B05632"/>
    <w:rsid w:val="27BC1DF8"/>
    <w:rsid w:val="27CF2DBD"/>
    <w:rsid w:val="27D515D7"/>
    <w:rsid w:val="28076074"/>
    <w:rsid w:val="280A0759"/>
    <w:rsid w:val="280D4614"/>
    <w:rsid w:val="281846D4"/>
    <w:rsid w:val="282F78FD"/>
    <w:rsid w:val="28436F61"/>
    <w:rsid w:val="285B1283"/>
    <w:rsid w:val="286A2391"/>
    <w:rsid w:val="28724132"/>
    <w:rsid w:val="287B59F6"/>
    <w:rsid w:val="28847D06"/>
    <w:rsid w:val="288F48FB"/>
    <w:rsid w:val="28974169"/>
    <w:rsid w:val="28982337"/>
    <w:rsid w:val="28AC0ECF"/>
    <w:rsid w:val="28AE2264"/>
    <w:rsid w:val="28BE57FD"/>
    <w:rsid w:val="28C01F1D"/>
    <w:rsid w:val="28C14CAA"/>
    <w:rsid w:val="28D35487"/>
    <w:rsid w:val="28EB33ED"/>
    <w:rsid w:val="29001D45"/>
    <w:rsid w:val="290D0C20"/>
    <w:rsid w:val="29154A5F"/>
    <w:rsid w:val="29162105"/>
    <w:rsid w:val="291D6CFF"/>
    <w:rsid w:val="291E564E"/>
    <w:rsid w:val="29380B6D"/>
    <w:rsid w:val="293D604B"/>
    <w:rsid w:val="29454998"/>
    <w:rsid w:val="295F284A"/>
    <w:rsid w:val="29741CFA"/>
    <w:rsid w:val="297C2E49"/>
    <w:rsid w:val="29941624"/>
    <w:rsid w:val="299554BA"/>
    <w:rsid w:val="29956056"/>
    <w:rsid w:val="29AA3C23"/>
    <w:rsid w:val="29BF59D6"/>
    <w:rsid w:val="29C53546"/>
    <w:rsid w:val="29C941A2"/>
    <w:rsid w:val="29E975D7"/>
    <w:rsid w:val="29EB49C9"/>
    <w:rsid w:val="29EF3FB8"/>
    <w:rsid w:val="29F12286"/>
    <w:rsid w:val="29F92069"/>
    <w:rsid w:val="29FB2966"/>
    <w:rsid w:val="29FE00BA"/>
    <w:rsid w:val="2A1D7695"/>
    <w:rsid w:val="2A2B2E5B"/>
    <w:rsid w:val="2A315E99"/>
    <w:rsid w:val="2A37472F"/>
    <w:rsid w:val="2A3A63BF"/>
    <w:rsid w:val="2A411009"/>
    <w:rsid w:val="2A48150B"/>
    <w:rsid w:val="2A4C0A1A"/>
    <w:rsid w:val="2A4C6A3D"/>
    <w:rsid w:val="2A4F6BD1"/>
    <w:rsid w:val="2A633D38"/>
    <w:rsid w:val="2A655AFF"/>
    <w:rsid w:val="2A715DEA"/>
    <w:rsid w:val="2A801788"/>
    <w:rsid w:val="2A862ED0"/>
    <w:rsid w:val="2A97631D"/>
    <w:rsid w:val="2AA146AC"/>
    <w:rsid w:val="2AB4054B"/>
    <w:rsid w:val="2AB843C9"/>
    <w:rsid w:val="2AD307BD"/>
    <w:rsid w:val="2AEA4C38"/>
    <w:rsid w:val="2AFE46B0"/>
    <w:rsid w:val="2B073FBC"/>
    <w:rsid w:val="2B0C18DB"/>
    <w:rsid w:val="2B22095A"/>
    <w:rsid w:val="2B392180"/>
    <w:rsid w:val="2B3C1D66"/>
    <w:rsid w:val="2B3E28EB"/>
    <w:rsid w:val="2B430D79"/>
    <w:rsid w:val="2B5B5E82"/>
    <w:rsid w:val="2B6C546E"/>
    <w:rsid w:val="2B6E1F63"/>
    <w:rsid w:val="2B9215B2"/>
    <w:rsid w:val="2BA42C24"/>
    <w:rsid w:val="2BB623FD"/>
    <w:rsid w:val="2BC566C7"/>
    <w:rsid w:val="2BC81736"/>
    <w:rsid w:val="2BC94CD3"/>
    <w:rsid w:val="2BE3479D"/>
    <w:rsid w:val="2BF13DD4"/>
    <w:rsid w:val="2BFB3F34"/>
    <w:rsid w:val="2BFF27F7"/>
    <w:rsid w:val="2C0E0D00"/>
    <w:rsid w:val="2C19133D"/>
    <w:rsid w:val="2C1A1B3D"/>
    <w:rsid w:val="2C1F687B"/>
    <w:rsid w:val="2C221397"/>
    <w:rsid w:val="2C2B72E6"/>
    <w:rsid w:val="2C713CAA"/>
    <w:rsid w:val="2C81653D"/>
    <w:rsid w:val="2CB9247E"/>
    <w:rsid w:val="2CF42A2C"/>
    <w:rsid w:val="2D1547AA"/>
    <w:rsid w:val="2D1C0C8B"/>
    <w:rsid w:val="2D27070E"/>
    <w:rsid w:val="2D500625"/>
    <w:rsid w:val="2D511CF8"/>
    <w:rsid w:val="2D6E024E"/>
    <w:rsid w:val="2D7E1A45"/>
    <w:rsid w:val="2D8E5DB3"/>
    <w:rsid w:val="2D9C231F"/>
    <w:rsid w:val="2D9F3C27"/>
    <w:rsid w:val="2DAB019F"/>
    <w:rsid w:val="2DB15F1B"/>
    <w:rsid w:val="2DC87203"/>
    <w:rsid w:val="2DE44B7D"/>
    <w:rsid w:val="2DE85A59"/>
    <w:rsid w:val="2E00515D"/>
    <w:rsid w:val="2E153C96"/>
    <w:rsid w:val="2E1D043E"/>
    <w:rsid w:val="2E2C3CC9"/>
    <w:rsid w:val="2E2D39B2"/>
    <w:rsid w:val="2E3944DD"/>
    <w:rsid w:val="2E524DAC"/>
    <w:rsid w:val="2E553313"/>
    <w:rsid w:val="2E6C4C6B"/>
    <w:rsid w:val="2E760F81"/>
    <w:rsid w:val="2E7A64DB"/>
    <w:rsid w:val="2E7F0E45"/>
    <w:rsid w:val="2E816717"/>
    <w:rsid w:val="2EB237E2"/>
    <w:rsid w:val="2EB4082E"/>
    <w:rsid w:val="2EB774D0"/>
    <w:rsid w:val="2ED62883"/>
    <w:rsid w:val="2EE04406"/>
    <w:rsid w:val="2EE461BC"/>
    <w:rsid w:val="2EE642AD"/>
    <w:rsid w:val="2F05447E"/>
    <w:rsid w:val="2F2D7B86"/>
    <w:rsid w:val="2F3C62F0"/>
    <w:rsid w:val="2F3F6D21"/>
    <w:rsid w:val="2F427B64"/>
    <w:rsid w:val="2F7A7771"/>
    <w:rsid w:val="2F8E7570"/>
    <w:rsid w:val="2F9319F0"/>
    <w:rsid w:val="2FA70B41"/>
    <w:rsid w:val="2FAE780E"/>
    <w:rsid w:val="2FC61B21"/>
    <w:rsid w:val="2FEA61C6"/>
    <w:rsid w:val="2FF46A33"/>
    <w:rsid w:val="30164ACC"/>
    <w:rsid w:val="301746AE"/>
    <w:rsid w:val="301A510E"/>
    <w:rsid w:val="30446691"/>
    <w:rsid w:val="30464851"/>
    <w:rsid w:val="304E3B0C"/>
    <w:rsid w:val="304F6D7C"/>
    <w:rsid w:val="30536DA5"/>
    <w:rsid w:val="30555F0B"/>
    <w:rsid w:val="305B18F9"/>
    <w:rsid w:val="306675DB"/>
    <w:rsid w:val="306F4A5C"/>
    <w:rsid w:val="30704F1E"/>
    <w:rsid w:val="30852FCB"/>
    <w:rsid w:val="309A523C"/>
    <w:rsid w:val="30B74EB9"/>
    <w:rsid w:val="30D939A1"/>
    <w:rsid w:val="31130579"/>
    <w:rsid w:val="31150AF7"/>
    <w:rsid w:val="311F5918"/>
    <w:rsid w:val="312977F5"/>
    <w:rsid w:val="312B07F9"/>
    <w:rsid w:val="3140510D"/>
    <w:rsid w:val="31490B16"/>
    <w:rsid w:val="31500AF0"/>
    <w:rsid w:val="31606BA9"/>
    <w:rsid w:val="31705F62"/>
    <w:rsid w:val="317B5137"/>
    <w:rsid w:val="31B173FD"/>
    <w:rsid w:val="31B535AF"/>
    <w:rsid w:val="31EA44FA"/>
    <w:rsid w:val="31F304A6"/>
    <w:rsid w:val="32091243"/>
    <w:rsid w:val="32294765"/>
    <w:rsid w:val="327E7CD9"/>
    <w:rsid w:val="32B56E69"/>
    <w:rsid w:val="32F445A5"/>
    <w:rsid w:val="32FC5FC6"/>
    <w:rsid w:val="330F4401"/>
    <w:rsid w:val="33183F47"/>
    <w:rsid w:val="331E1E02"/>
    <w:rsid w:val="33353215"/>
    <w:rsid w:val="333F60CB"/>
    <w:rsid w:val="33435036"/>
    <w:rsid w:val="33472431"/>
    <w:rsid w:val="33537223"/>
    <w:rsid w:val="335D7B29"/>
    <w:rsid w:val="336B0B61"/>
    <w:rsid w:val="338C3ABE"/>
    <w:rsid w:val="33A45020"/>
    <w:rsid w:val="33A867A1"/>
    <w:rsid w:val="33B53865"/>
    <w:rsid w:val="33BE0CB2"/>
    <w:rsid w:val="33C02706"/>
    <w:rsid w:val="33D21CA6"/>
    <w:rsid w:val="33EC028B"/>
    <w:rsid w:val="33F133C2"/>
    <w:rsid w:val="33F943AC"/>
    <w:rsid w:val="341548E7"/>
    <w:rsid w:val="34251F8E"/>
    <w:rsid w:val="345A7961"/>
    <w:rsid w:val="347A05C3"/>
    <w:rsid w:val="347E5080"/>
    <w:rsid w:val="348D4D75"/>
    <w:rsid w:val="34902CE5"/>
    <w:rsid w:val="34965FFC"/>
    <w:rsid w:val="349E0792"/>
    <w:rsid w:val="34B33E57"/>
    <w:rsid w:val="34B475AD"/>
    <w:rsid w:val="34C1398D"/>
    <w:rsid w:val="34CB201F"/>
    <w:rsid w:val="34D33C1F"/>
    <w:rsid w:val="34D80FF0"/>
    <w:rsid w:val="34DB71D0"/>
    <w:rsid w:val="34E077DE"/>
    <w:rsid w:val="34EB3FFA"/>
    <w:rsid w:val="350E3506"/>
    <w:rsid w:val="351911D3"/>
    <w:rsid w:val="351C58FB"/>
    <w:rsid w:val="35493147"/>
    <w:rsid w:val="354B3A99"/>
    <w:rsid w:val="35572F42"/>
    <w:rsid w:val="35597C68"/>
    <w:rsid w:val="35680A2A"/>
    <w:rsid w:val="35682CA4"/>
    <w:rsid w:val="356E5C0E"/>
    <w:rsid w:val="357375C4"/>
    <w:rsid w:val="357A743D"/>
    <w:rsid w:val="358B52B4"/>
    <w:rsid w:val="35990A65"/>
    <w:rsid w:val="359D6299"/>
    <w:rsid w:val="35A6171B"/>
    <w:rsid w:val="35A82F5F"/>
    <w:rsid w:val="35B558E6"/>
    <w:rsid w:val="35B603F5"/>
    <w:rsid w:val="35CC2089"/>
    <w:rsid w:val="35EF1F65"/>
    <w:rsid w:val="35EF4E9F"/>
    <w:rsid w:val="36011B96"/>
    <w:rsid w:val="360D3064"/>
    <w:rsid w:val="364113BA"/>
    <w:rsid w:val="3652616D"/>
    <w:rsid w:val="366046B9"/>
    <w:rsid w:val="366135C0"/>
    <w:rsid w:val="366A5627"/>
    <w:rsid w:val="36710AA2"/>
    <w:rsid w:val="36977AEC"/>
    <w:rsid w:val="36AC26B2"/>
    <w:rsid w:val="36C81B5B"/>
    <w:rsid w:val="36CA4796"/>
    <w:rsid w:val="36D305E5"/>
    <w:rsid w:val="36EA7FF2"/>
    <w:rsid w:val="36F216AE"/>
    <w:rsid w:val="37017235"/>
    <w:rsid w:val="373D169F"/>
    <w:rsid w:val="374E143A"/>
    <w:rsid w:val="375145A6"/>
    <w:rsid w:val="37522485"/>
    <w:rsid w:val="37613C52"/>
    <w:rsid w:val="376C6310"/>
    <w:rsid w:val="376F2885"/>
    <w:rsid w:val="377835C6"/>
    <w:rsid w:val="37AC6E59"/>
    <w:rsid w:val="37CA6DE1"/>
    <w:rsid w:val="37DD1744"/>
    <w:rsid w:val="37F25243"/>
    <w:rsid w:val="37F30782"/>
    <w:rsid w:val="380255AF"/>
    <w:rsid w:val="38333626"/>
    <w:rsid w:val="384E441A"/>
    <w:rsid w:val="38506C2F"/>
    <w:rsid w:val="385233A1"/>
    <w:rsid w:val="3866751A"/>
    <w:rsid w:val="38702885"/>
    <w:rsid w:val="38803B23"/>
    <w:rsid w:val="38877CF7"/>
    <w:rsid w:val="38961914"/>
    <w:rsid w:val="38AF3010"/>
    <w:rsid w:val="38D822E9"/>
    <w:rsid w:val="38DD6A3B"/>
    <w:rsid w:val="38E03474"/>
    <w:rsid w:val="38E2286A"/>
    <w:rsid w:val="38E32D4B"/>
    <w:rsid w:val="38E94228"/>
    <w:rsid w:val="39051B96"/>
    <w:rsid w:val="39090EB2"/>
    <w:rsid w:val="390A09B4"/>
    <w:rsid w:val="390B2C76"/>
    <w:rsid w:val="391644FB"/>
    <w:rsid w:val="39257351"/>
    <w:rsid w:val="392F0F3D"/>
    <w:rsid w:val="39322F95"/>
    <w:rsid w:val="39413E39"/>
    <w:rsid w:val="39430A5E"/>
    <w:rsid w:val="394368A9"/>
    <w:rsid w:val="395F383D"/>
    <w:rsid w:val="39602F23"/>
    <w:rsid w:val="396B58C4"/>
    <w:rsid w:val="396C4496"/>
    <w:rsid w:val="397B0BB4"/>
    <w:rsid w:val="399B3376"/>
    <w:rsid w:val="39A64195"/>
    <w:rsid w:val="39AE7EEA"/>
    <w:rsid w:val="39AF1465"/>
    <w:rsid w:val="39B36E51"/>
    <w:rsid w:val="39C04E20"/>
    <w:rsid w:val="39CA3463"/>
    <w:rsid w:val="39CF6662"/>
    <w:rsid w:val="39E80849"/>
    <w:rsid w:val="39F2252B"/>
    <w:rsid w:val="3A0E5A41"/>
    <w:rsid w:val="3A2175BE"/>
    <w:rsid w:val="3A2436D1"/>
    <w:rsid w:val="3A2A7F00"/>
    <w:rsid w:val="3A593D19"/>
    <w:rsid w:val="3A6A27D7"/>
    <w:rsid w:val="3ABC09E4"/>
    <w:rsid w:val="3AC407C9"/>
    <w:rsid w:val="3ADD1A06"/>
    <w:rsid w:val="3AE97157"/>
    <w:rsid w:val="3AF06CC1"/>
    <w:rsid w:val="3B183E18"/>
    <w:rsid w:val="3B215631"/>
    <w:rsid w:val="3B2A202C"/>
    <w:rsid w:val="3B2D6711"/>
    <w:rsid w:val="3B366D77"/>
    <w:rsid w:val="3B51309B"/>
    <w:rsid w:val="3B883403"/>
    <w:rsid w:val="3B954F85"/>
    <w:rsid w:val="3B9C0E95"/>
    <w:rsid w:val="3BA96A60"/>
    <w:rsid w:val="3BBD0AD4"/>
    <w:rsid w:val="3BC041C3"/>
    <w:rsid w:val="3BDD1361"/>
    <w:rsid w:val="3BFE5D03"/>
    <w:rsid w:val="3C0248C3"/>
    <w:rsid w:val="3C072215"/>
    <w:rsid w:val="3C0D6F42"/>
    <w:rsid w:val="3C121927"/>
    <w:rsid w:val="3C167592"/>
    <w:rsid w:val="3C170EB9"/>
    <w:rsid w:val="3C250799"/>
    <w:rsid w:val="3C276162"/>
    <w:rsid w:val="3C2B1BD6"/>
    <w:rsid w:val="3C2C17DF"/>
    <w:rsid w:val="3C396A58"/>
    <w:rsid w:val="3C545A49"/>
    <w:rsid w:val="3C663D83"/>
    <w:rsid w:val="3C714A0F"/>
    <w:rsid w:val="3C762FBC"/>
    <w:rsid w:val="3C9108DC"/>
    <w:rsid w:val="3C9B0B43"/>
    <w:rsid w:val="3CA427D7"/>
    <w:rsid w:val="3CA431D4"/>
    <w:rsid w:val="3CA86B29"/>
    <w:rsid w:val="3CAB484A"/>
    <w:rsid w:val="3CAC710F"/>
    <w:rsid w:val="3CBD03A6"/>
    <w:rsid w:val="3CDC27C9"/>
    <w:rsid w:val="3CE068D8"/>
    <w:rsid w:val="3CF21AEE"/>
    <w:rsid w:val="3D0A22D5"/>
    <w:rsid w:val="3D0B5F2D"/>
    <w:rsid w:val="3D114B5C"/>
    <w:rsid w:val="3D193B16"/>
    <w:rsid w:val="3D3F2810"/>
    <w:rsid w:val="3D484D37"/>
    <w:rsid w:val="3D495DF7"/>
    <w:rsid w:val="3D6D2A0E"/>
    <w:rsid w:val="3D8469EA"/>
    <w:rsid w:val="3D851633"/>
    <w:rsid w:val="3D875BB8"/>
    <w:rsid w:val="3D8C51FC"/>
    <w:rsid w:val="3DA91E13"/>
    <w:rsid w:val="3DBF1661"/>
    <w:rsid w:val="3DC94D05"/>
    <w:rsid w:val="3DD04FC8"/>
    <w:rsid w:val="3DE15284"/>
    <w:rsid w:val="3E051FCE"/>
    <w:rsid w:val="3E1756B6"/>
    <w:rsid w:val="3E1920C0"/>
    <w:rsid w:val="3E2048C2"/>
    <w:rsid w:val="3E28471D"/>
    <w:rsid w:val="3E42659A"/>
    <w:rsid w:val="3E4C632F"/>
    <w:rsid w:val="3E5E3BF8"/>
    <w:rsid w:val="3E5F70CE"/>
    <w:rsid w:val="3E610DA9"/>
    <w:rsid w:val="3E645172"/>
    <w:rsid w:val="3E701062"/>
    <w:rsid w:val="3E77442B"/>
    <w:rsid w:val="3EAC39B4"/>
    <w:rsid w:val="3EC11BF7"/>
    <w:rsid w:val="3ED3198F"/>
    <w:rsid w:val="3EF169DA"/>
    <w:rsid w:val="3EF93089"/>
    <w:rsid w:val="3F063A19"/>
    <w:rsid w:val="3F0E4239"/>
    <w:rsid w:val="3F127531"/>
    <w:rsid w:val="3F2B4E96"/>
    <w:rsid w:val="3F3A7BF4"/>
    <w:rsid w:val="3F4431BB"/>
    <w:rsid w:val="3F507482"/>
    <w:rsid w:val="3F5661ED"/>
    <w:rsid w:val="3F5C181E"/>
    <w:rsid w:val="3F5E4986"/>
    <w:rsid w:val="3F6263C0"/>
    <w:rsid w:val="3F700303"/>
    <w:rsid w:val="3F755AF4"/>
    <w:rsid w:val="3F7A035D"/>
    <w:rsid w:val="3F7A4AAC"/>
    <w:rsid w:val="3F7F2AED"/>
    <w:rsid w:val="3F8365D7"/>
    <w:rsid w:val="3F8568C6"/>
    <w:rsid w:val="3F895D56"/>
    <w:rsid w:val="3FAF7F99"/>
    <w:rsid w:val="3FBE325D"/>
    <w:rsid w:val="3FC24EFB"/>
    <w:rsid w:val="3FC367FF"/>
    <w:rsid w:val="3FC42D5D"/>
    <w:rsid w:val="3FC470DF"/>
    <w:rsid w:val="3FC64BBD"/>
    <w:rsid w:val="3FDD44BD"/>
    <w:rsid w:val="3FE171EA"/>
    <w:rsid w:val="3FEE70B9"/>
    <w:rsid w:val="4016105A"/>
    <w:rsid w:val="402823BF"/>
    <w:rsid w:val="403303DB"/>
    <w:rsid w:val="40507088"/>
    <w:rsid w:val="40511B29"/>
    <w:rsid w:val="40525CFA"/>
    <w:rsid w:val="405666DE"/>
    <w:rsid w:val="405A164D"/>
    <w:rsid w:val="405A2653"/>
    <w:rsid w:val="40622EEA"/>
    <w:rsid w:val="407D09B4"/>
    <w:rsid w:val="40892F96"/>
    <w:rsid w:val="408E1F25"/>
    <w:rsid w:val="40997ED2"/>
    <w:rsid w:val="409D774F"/>
    <w:rsid w:val="40A22DA0"/>
    <w:rsid w:val="40A354E5"/>
    <w:rsid w:val="40B03322"/>
    <w:rsid w:val="40B13E1A"/>
    <w:rsid w:val="40BA48A9"/>
    <w:rsid w:val="40BC21AD"/>
    <w:rsid w:val="40C444B5"/>
    <w:rsid w:val="40C671A3"/>
    <w:rsid w:val="4109777D"/>
    <w:rsid w:val="411F6223"/>
    <w:rsid w:val="41390C96"/>
    <w:rsid w:val="413B683F"/>
    <w:rsid w:val="41466C95"/>
    <w:rsid w:val="414B6987"/>
    <w:rsid w:val="4158647C"/>
    <w:rsid w:val="416247B9"/>
    <w:rsid w:val="416B0B98"/>
    <w:rsid w:val="4175321B"/>
    <w:rsid w:val="41860E68"/>
    <w:rsid w:val="418F78FA"/>
    <w:rsid w:val="4195768D"/>
    <w:rsid w:val="41A605D0"/>
    <w:rsid w:val="41CA3305"/>
    <w:rsid w:val="41CC6A6E"/>
    <w:rsid w:val="41D46746"/>
    <w:rsid w:val="41E50241"/>
    <w:rsid w:val="41ED6B4B"/>
    <w:rsid w:val="42065175"/>
    <w:rsid w:val="42203DE5"/>
    <w:rsid w:val="423339AE"/>
    <w:rsid w:val="42400071"/>
    <w:rsid w:val="42623E1B"/>
    <w:rsid w:val="42702AE2"/>
    <w:rsid w:val="427A3AB6"/>
    <w:rsid w:val="427B2568"/>
    <w:rsid w:val="427B6090"/>
    <w:rsid w:val="428A5209"/>
    <w:rsid w:val="42A32E9D"/>
    <w:rsid w:val="42A37451"/>
    <w:rsid w:val="42AA632B"/>
    <w:rsid w:val="42AE7F37"/>
    <w:rsid w:val="42B74E5E"/>
    <w:rsid w:val="42B9327D"/>
    <w:rsid w:val="42CC28E0"/>
    <w:rsid w:val="43037BB1"/>
    <w:rsid w:val="4308583C"/>
    <w:rsid w:val="433B61B3"/>
    <w:rsid w:val="433E40E3"/>
    <w:rsid w:val="434C25F0"/>
    <w:rsid w:val="434D4AE8"/>
    <w:rsid w:val="43512BF1"/>
    <w:rsid w:val="435448CE"/>
    <w:rsid w:val="43572820"/>
    <w:rsid w:val="43633FF9"/>
    <w:rsid w:val="436B0A40"/>
    <w:rsid w:val="43702309"/>
    <w:rsid w:val="43715519"/>
    <w:rsid w:val="437B5074"/>
    <w:rsid w:val="437E400B"/>
    <w:rsid w:val="438A4C0C"/>
    <w:rsid w:val="43993698"/>
    <w:rsid w:val="43A97233"/>
    <w:rsid w:val="43B31196"/>
    <w:rsid w:val="43B95861"/>
    <w:rsid w:val="43BB720C"/>
    <w:rsid w:val="43BC335F"/>
    <w:rsid w:val="43C92B32"/>
    <w:rsid w:val="43D85736"/>
    <w:rsid w:val="43E52B37"/>
    <w:rsid w:val="43EB7ACC"/>
    <w:rsid w:val="43FC1AB4"/>
    <w:rsid w:val="4425490C"/>
    <w:rsid w:val="442A1993"/>
    <w:rsid w:val="442F4C28"/>
    <w:rsid w:val="44402F95"/>
    <w:rsid w:val="447D407D"/>
    <w:rsid w:val="448048E7"/>
    <w:rsid w:val="44811A23"/>
    <w:rsid w:val="448A0E5D"/>
    <w:rsid w:val="449D45F7"/>
    <w:rsid w:val="44A435AA"/>
    <w:rsid w:val="44A872EC"/>
    <w:rsid w:val="44A91136"/>
    <w:rsid w:val="44BC0FC1"/>
    <w:rsid w:val="44C07EB7"/>
    <w:rsid w:val="44C41CD0"/>
    <w:rsid w:val="44E55E6C"/>
    <w:rsid w:val="44EB55BF"/>
    <w:rsid w:val="4516216D"/>
    <w:rsid w:val="451F0B3D"/>
    <w:rsid w:val="452A57C8"/>
    <w:rsid w:val="452D2698"/>
    <w:rsid w:val="454E3658"/>
    <w:rsid w:val="45565B56"/>
    <w:rsid w:val="45836B41"/>
    <w:rsid w:val="45B42CD2"/>
    <w:rsid w:val="45BA3A93"/>
    <w:rsid w:val="45D32B9D"/>
    <w:rsid w:val="45D51F09"/>
    <w:rsid w:val="45E335B5"/>
    <w:rsid w:val="45F63964"/>
    <w:rsid w:val="46072FDC"/>
    <w:rsid w:val="460B44C8"/>
    <w:rsid w:val="46127FE6"/>
    <w:rsid w:val="46136A51"/>
    <w:rsid w:val="46144FA7"/>
    <w:rsid w:val="46177BEE"/>
    <w:rsid w:val="461B01EF"/>
    <w:rsid w:val="461F3C01"/>
    <w:rsid w:val="462D4AD7"/>
    <w:rsid w:val="463E6D3E"/>
    <w:rsid w:val="4655156B"/>
    <w:rsid w:val="46566AA9"/>
    <w:rsid w:val="46661558"/>
    <w:rsid w:val="466A3548"/>
    <w:rsid w:val="466C4AED"/>
    <w:rsid w:val="46967F5B"/>
    <w:rsid w:val="469E6E3A"/>
    <w:rsid w:val="46B05B1F"/>
    <w:rsid w:val="46B35E11"/>
    <w:rsid w:val="46BA27BC"/>
    <w:rsid w:val="46BC6770"/>
    <w:rsid w:val="46CF7E90"/>
    <w:rsid w:val="46D13DB8"/>
    <w:rsid w:val="47240834"/>
    <w:rsid w:val="47546CCD"/>
    <w:rsid w:val="475567CD"/>
    <w:rsid w:val="475A2634"/>
    <w:rsid w:val="475B3DA3"/>
    <w:rsid w:val="478039D4"/>
    <w:rsid w:val="479E642E"/>
    <w:rsid w:val="47A20A59"/>
    <w:rsid w:val="47B5458F"/>
    <w:rsid w:val="47C1238D"/>
    <w:rsid w:val="47CB0AA5"/>
    <w:rsid w:val="47E246F7"/>
    <w:rsid w:val="47E76F91"/>
    <w:rsid w:val="47FF0DAF"/>
    <w:rsid w:val="48030380"/>
    <w:rsid w:val="48185A6B"/>
    <w:rsid w:val="48273A4D"/>
    <w:rsid w:val="483F2C13"/>
    <w:rsid w:val="48490C72"/>
    <w:rsid w:val="484A471E"/>
    <w:rsid w:val="485162E7"/>
    <w:rsid w:val="48560B58"/>
    <w:rsid w:val="48615205"/>
    <w:rsid w:val="486B3599"/>
    <w:rsid w:val="486F3FB1"/>
    <w:rsid w:val="487452ED"/>
    <w:rsid w:val="48936FC5"/>
    <w:rsid w:val="489414DE"/>
    <w:rsid w:val="48A61185"/>
    <w:rsid w:val="48BE4304"/>
    <w:rsid w:val="48C34DDE"/>
    <w:rsid w:val="48D17B15"/>
    <w:rsid w:val="48F814A8"/>
    <w:rsid w:val="491171A1"/>
    <w:rsid w:val="4927647B"/>
    <w:rsid w:val="492C5797"/>
    <w:rsid w:val="49411658"/>
    <w:rsid w:val="495013A9"/>
    <w:rsid w:val="495F48E7"/>
    <w:rsid w:val="49793828"/>
    <w:rsid w:val="49804F41"/>
    <w:rsid w:val="499C2D6D"/>
    <w:rsid w:val="49A747AA"/>
    <w:rsid w:val="49BF7880"/>
    <w:rsid w:val="49C82B49"/>
    <w:rsid w:val="49D56C49"/>
    <w:rsid w:val="49D855C7"/>
    <w:rsid w:val="49EC4258"/>
    <w:rsid w:val="49F80512"/>
    <w:rsid w:val="4A21436D"/>
    <w:rsid w:val="4A263F01"/>
    <w:rsid w:val="4A4658CB"/>
    <w:rsid w:val="4A4C1CC9"/>
    <w:rsid w:val="4A7F1D52"/>
    <w:rsid w:val="4A854E3F"/>
    <w:rsid w:val="4AAB146E"/>
    <w:rsid w:val="4AED724C"/>
    <w:rsid w:val="4AF67D35"/>
    <w:rsid w:val="4AF850BA"/>
    <w:rsid w:val="4AFB4F34"/>
    <w:rsid w:val="4B130467"/>
    <w:rsid w:val="4B1338CC"/>
    <w:rsid w:val="4B172B12"/>
    <w:rsid w:val="4B262EBA"/>
    <w:rsid w:val="4B3F1EC7"/>
    <w:rsid w:val="4B531F8D"/>
    <w:rsid w:val="4B662E8B"/>
    <w:rsid w:val="4B7032D6"/>
    <w:rsid w:val="4B82772E"/>
    <w:rsid w:val="4B8D450C"/>
    <w:rsid w:val="4B943B21"/>
    <w:rsid w:val="4BAB096B"/>
    <w:rsid w:val="4BAF7E06"/>
    <w:rsid w:val="4BB31FB1"/>
    <w:rsid w:val="4BBB3716"/>
    <w:rsid w:val="4BC874A9"/>
    <w:rsid w:val="4BD46636"/>
    <w:rsid w:val="4BEE45CB"/>
    <w:rsid w:val="4C082496"/>
    <w:rsid w:val="4C08678F"/>
    <w:rsid w:val="4C1B5AC4"/>
    <w:rsid w:val="4C396B73"/>
    <w:rsid w:val="4C426781"/>
    <w:rsid w:val="4C4C5496"/>
    <w:rsid w:val="4C6A1CEF"/>
    <w:rsid w:val="4C6C3432"/>
    <w:rsid w:val="4C854697"/>
    <w:rsid w:val="4C8C21FB"/>
    <w:rsid w:val="4C907331"/>
    <w:rsid w:val="4C9D08B4"/>
    <w:rsid w:val="4CA66198"/>
    <w:rsid w:val="4CAA102F"/>
    <w:rsid w:val="4CB14655"/>
    <w:rsid w:val="4CB33E17"/>
    <w:rsid w:val="4CC80B92"/>
    <w:rsid w:val="4CC92C3A"/>
    <w:rsid w:val="4CD70511"/>
    <w:rsid w:val="4CE01489"/>
    <w:rsid w:val="4CEB74B6"/>
    <w:rsid w:val="4CEC7377"/>
    <w:rsid w:val="4CF50A59"/>
    <w:rsid w:val="4CF8202F"/>
    <w:rsid w:val="4CFD4AAA"/>
    <w:rsid w:val="4D182801"/>
    <w:rsid w:val="4D1836FB"/>
    <w:rsid w:val="4D50488B"/>
    <w:rsid w:val="4D533AAF"/>
    <w:rsid w:val="4D5F6842"/>
    <w:rsid w:val="4D79073E"/>
    <w:rsid w:val="4D7B0185"/>
    <w:rsid w:val="4D9E34B9"/>
    <w:rsid w:val="4DAC7F99"/>
    <w:rsid w:val="4DBD3C87"/>
    <w:rsid w:val="4DBF6851"/>
    <w:rsid w:val="4DC90683"/>
    <w:rsid w:val="4DC94ACF"/>
    <w:rsid w:val="4DE047C5"/>
    <w:rsid w:val="4DE54991"/>
    <w:rsid w:val="4DF05258"/>
    <w:rsid w:val="4E252D2A"/>
    <w:rsid w:val="4E34242E"/>
    <w:rsid w:val="4E364E79"/>
    <w:rsid w:val="4E3F795C"/>
    <w:rsid w:val="4E40707C"/>
    <w:rsid w:val="4E42373A"/>
    <w:rsid w:val="4E507D99"/>
    <w:rsid w:val="4E532719"/>
    <w:rsid w:val="4E866E0A"/>
    <w:rsid w:val="4E8D2056"/>
    <w:rsid w:val="4E984EC4"/>
    <w:rsid w:val="4EAF7A28"/>
    <w:rsid w:val="4EBA5209"/>
    <w:rsid w:val="4EBB286E"/>
    <w:rsid w:val="4ECD192A"/>
    <w:rsid w:val="4ED21F42"/>
    <w:rsid w:val="4ED8617F"/>
    <w:rsid w:val="4EE03123"/>
    <w:rsid w:val="4EE07940"/>
    <w:rsid w:val="4EF647A8"/>
    <w:rsid w:val="4EFE223D"/>
    <w:rsid w:val="4F093E78"/>
    <w:rsid w:val="4F0F3806"/>
    <w:rsid w:val="4F1D2082"/>
    <w:rsid w:val="4F1E444B"/>
    <w:rsid w:val="4F280A7B"/>
    <w:rsid w:val="4F2B223C"/>
    <w:rsid w:val="4F2C416E"/>
    <w:rsid w:val="4F3B0396"/>
    <w:rsid w:val="4F4D0E89"/>
    <w:rsid w:val="4F5464CE"/>
    <w:rsid w:val="4F55307E"/>
    <w:rsid w:val="4F6F5219"/>
    <w:rsid w:val="4F8E4B27"/>
    <w:rsid w:val="4F907AA4"/>
    <w:rsid w:val="4FA60918"/>
    <w:rsid w:val="4FB476B5"/>
    <w:rsid w:val="4FBC4BF4"/>
    <w:rsid w:val="4FD65B1E"/>
    <w:rsid w:val="50051405"/>
    <w:rsid w:val="500832F8"/>
    <w:rsid w:val="501136F0"/>
    <w:rsid w:val="502256AD"/>
    <w:rsid w:val="5034594F"/>
    <w:rsid w:val="504215FA"/>
    <w:rsid w:val="50451DB7"/>
    <w:rsid w:val="504B791D"/>
    <w:rsid w:val="508F5AFC"/>
    <w:rsid w:val="508F60CA"/>
    <w:rsid w:val="50981162"/>
    <w:rsid w:val="50A75C06"/>
    <w:rsid w:val="50BC7B28"/>
    <w:rsid w:val="50C06385"/>
    <w:rsid w:val="50CE6418"/>
    <w:rsid w:val="50D40BCA"/>
    <w:rsid w:val="50D70E9D"/>
    <w:rsid w:val="50F35D93"/>
    <w:rsid w:val="50FA44CD"/>
    <w:rsid w:val="510036F5"/>
    <w:rsid w:val="5105303B"/>
    <w:rsid w:val="51114085"/>
    <w:rsid w:val="511216F1"/>
    <w:rsid w:val="511579E7"/>
    <w:rsid w:val="512A1CE3"/>
    <w:rsid w:val="514516F1"/>
    <w:rsid w:val="51545650"/>
    <w:rsid w:val="516E7D73"/>
    <w:rsid w:val="5180209A"/>
    <w:rsid w:val="51897721"/>
    <w:rsid w:val="519667AD"/>
    <w:rsid w:val="51973EE4"/>
    <w:rsid w:val="51A84D41"/>
    <w:rsid w:val="51AA2482"/>
    <w:rsid w:val="51AF0B41"/>
    <w:rsid w:val="51B1317F"/>
    <w:rsid w:val="51C23429"/>
    <w:rsid w:val="51D064C1"/>
    <w:rsid w:val="51DB1E92"/>
    <w:rsid w:val="51E14E39"/>
    <w:rsid w:val="51ED757F"/>
    <w:rsid w:val="52015763"/>
    <w:rsid w:val="52086C07"/>
    <w:rsid w:val="52150A7D"/>
    <w:rsid w:val="523353AC"/>
    <w:rsid w:val="52414306"/>
    <w:rsid w:val="52457AEB"/>
    <w:rsid w:val="52564EE5"/>
    <w:rsid w:val="52666F95"/>
    <w:rsid w:val="526763FB"/>
    <w:rsid w:val="52741EC2"/>
    <w:rsid w:val="528A1072"/>
    <w:rsid w:val="5290166C"/>
    <w:rsid w:val="52A02053"/>
    <w:rsid w:val="52AF1FD8"/>
    <w:rsid w:val="52DE6910"/>
    <w:rsid w:val="53204F15"/>
    <w:rsid w:val="5332064C"/>
    <w:rsid w:val="53336AAE"/>
    <w:rsid w:val="5336705F"/>
    <w:rsid w:val="533A136C"/>
    <w:rsid w:val="53480B19"/>
    <w:rsid w:val="5355264E"/>
    <w:rsid w:val="535F2BBA"/>
    <w:rsid w:val="53694CC1"/>
    <w:rsid w:val="537C67BA"/>
    <w:rsid w:val="53AF337A"/>
    <w:rsid w:val="53B26284"/>
    <w:rsid w:val="53B71994"/>
    <w:rsid w:val="53B759F4"/>
    <w:rsid w:val="53B82303"/>
    <w:rsid w:val="53D225A4"/>
    <w:rsid w:val="53DF4479"/>
    <w:rsid w:val="54123B00"/>
    <w:rsid w:val="54157C9B"/>
    <w:rsid w:val="54186AD3"/>
    <w:rsid w:val="543707C7"/>
    <w:rsid w:val="54371F77"/>
    <w:rsid w:val="543B112A"/>
    <w:rsid w:val="543F0B7F"/>
    <w:rsid w:val="544079AA"/>
    <w:rsid w:val="544A4D29"/>
    <w:rsid w:val="54547B86"/>
    <w:rsid w:val="545E0121"/>
    <w:rsid w:val="546A3396"/>
    <w:rsid w:val="54760B52"/>
    <w:rsid w:val="5481317B"/>
    <w:rsid w:val="5494027A"/>
    <w:rsid w:val="54955E57"/>
    <w:rsid w:val="54A21918"/>
    <w:rsid w:val="54AA76FF"/>
    <w:rsid w:val="54B92F65"/>
    <w:rsid w:val="54BA3416"/>
    <w:rsid w:val="54C61E86"/>
    <w:rsid w:val="54DA00AC"/>
    <w:rsid w:val="54DE5937"/>
    <w:rsid w:val="54E05AE9"/>
    <w:rsid w:val="54E82ECC"/>
    <w:rsid w:val="54FB3C17"/>
    <w:rsid w:val="54FD139F"/>
    <w:rsid w:val="55220DA5"/>
    <w:rsid w:val="55272CCA"/>
    <w:rsid w:val="552B579B"/>
    <w:rsid w:val="55487F01"/>
    <w:rsid w:val="555C6E60"/>
    <w:rsid w:val="556B7BE3"/>
    <w:rsid w:val="556E398A"/>
    <w:rsid w:val="558114B8"/>
    <w:rsid w:val="55813D78"/>
    <w:rsid w:val="55910F8E"/>
    <w:rsid w:val="55AB500F"/>
    <w:rsid w:val="55B256C0"/>
    <w:rsid w:val="55C73811"/>
    <w:rsid w:val="55C76A7F"/>
    <w:rsid w:val="55DF79E5"/>
    <w:rsid w:val="55F27F20"/>
    <w:rsid w:val="55FE0370"/>
    <w:rsid w:val="5611384C"/>
    <w:rsid w:val="561B28DD"/>
    <w:rsid w:val="561D05FE"/>
    <w:rsid w:val="5635520A"/>
    <w:rsid w:val="56463698"/>
    <w:rsid w:val="564846E1"/>
    <w:rsid w:val="566056C5"/>
    <w:rsid w:val="56641FF0"/>
    <w:rsid w:val="566C0CDE"/>
    <w:rsid w:val="567F34E2"/>
    <w:rsid w:val="56840D14"/>
    <w:rsid w:val="568868CC"/>
    <w:rsid w:val="56933527"/>
    <w:rsid w:val="56994311"/>
    <w:rsid w:val="569C4AD4"/>
    <w:rsid w:val="56A90562"/>
    <w:rsid w:val="56AD325A"/>
    <w:rsid w:val="56AD47B1"/>
    <w:rsid w:val="56B913AD"/>
    <w:rsid w:val="56DA0859"/>
    <w:rsid w:val="56DC35DD"/>
    <w:rsid w:val="56E17318"/>
    <w:rsid w:val="56FD590E"/>
    <w:rsid w:val="56FE257B"/>
    <w:rsid w:val="57036880"/>
    <w:rsid w:val="5728219E"/>
    <w:rsid w:val="57305E26"/>
    <w:rsid w:val="57314C5A"/>
    <w:rsid w:val="574A5794"/>
    <w:rsid w:val="575A261C"/>
    <w:rsid w:val="57A6426A"/>
    <w:rsid w:val="57B60E25"/>
    <w:rsid w:val="57E01724"/>
    <w:rsid w:val="57F307C1"/>
    <w:rsid w:val="57F43BBD"/>
    <w:rsid w:val="57FA2BAA"/>
    <w:rsid w:val="57FA43F1"/>
    <w:rsid w:val="580162E5"/>
    <w:rsid w:val="58041F34"/>
    <w:rsid w:val="580F1832"/>
    <w:rsid w:val="5815497A"/>
    <w:rsid w:val="581C6799"/>
    <w:rsid w:val="58327181"/>
    <w:rsid w:val="583A193F"/>
    <w:rsid w:val="585D149C"/>
    <w:rsid w:val="586621B6"/>
    <w:rsid w:val="589C683B"/>
    <w:rsid w:val="58B9588A"/>
    <w:rsid w:val="58C14572"/>
    <w:rsid w:val="58C73AD7"/>
    <w:rsid w:val="58DA2920"/>
    <w:rsid w:val="58E87BE3"/>
    <w:rsid w:val="58F020A3"/>
    <w:rsid w:val="58FB332B"/>
    <w:rsid w:val="595369EA"/>
    <w:rsid w:val="59540A82"/>
    <w:rsid w:val="59594578"/>
    <w:rsid w:val="59631729"/>
    <w:rsid w:val="596404B2"/>
    <w:rsid w:val="598A7A09"/>
    <w:rsid w:val="59B33075"/>
    <w:rsid w:val="59B63D96"/>
    <w:rsid w:val="59C13ED2"/>
    <w:rsid w:val="59E6253A"/>
    <w:rsid w:val="59E7033F"/>
    <w:rsid w:val="5A0354F7"/>
    <w:rsid w:val="5A1E5359"/>
    <w:rsid w:val="5A291824"/>
    <w:rsid w:val="5A344ECC"/>
    <w:rsid w:val="5A390B46"/>
    <w:rsid w:val="5A492723"/>
    <w:rsid w:val="5A5D74BC"/>
    <w:rsid w:val="5A7C5C8F"/>
    <w:rsid w:val="5A90403D"/>
    <w:rsid w:val="5A9D71ED"/>
    <w:rsid w:val="5AA2571A"/>
    <w:rsid w:val="5AB04EDE"/>
    <w:rsid w:val="5ABE4C72"/>
    <w:rsid w:val="5AC64C86"/>
    <w:rsid w:val="5ACF4A76"/>
    <w:rsid w:val="5AD03095"/>
    <w:rsid w:val="5AD51064"/>
    <w:rsid w:val="5ADE295C"/>
    <w:rsid w:val="5AEA6762"/>
    <w:rsid w:val="5AF8170C"/>
    <w:rsid w:val="5B05555C"/>
    <w:rsid w:val="5B1649CC"/>
    <w:rsid w:val="5B244DD8"/>
    <w:rsid w:val="5B2717CA"/>
    <w:rsid w:val="5B295890"/>
    <w:rsid w:val="5B2E4556"/>
    <w:rsid w:val="5B3879B9"/>
    <w:rsid w:val="5B436EF0"/>
    <w:rsid w:val="5B4D2B80"/>
    <w:rsid w:val="5B550806"/>
    <w:rsid w:val="5B572F28"/>
    <w:rsid w:val="5B893F6C"/>
    <w:rsid w:val="5B9F1B41"/>
    <w:rsid w:val="5BA37F28"/>
    <w:rsid w:val="5BAE24A8"/>
    <w:rsid w:val="5BB117B1"/>
    <w:rsid w:val="5BC51BF0"/>
    <w:rsid w:val="5BCF26D8"/>
    <w:rsid w:val="5C046DC6"/>
    <w:rsid w:val="5C0B7CEE"/>
    <w:rsid w:val="5C44015E"/>
    <w:rsid w:val="5C4D41F0"/>
    <w:rsid w:val="5C554BC5"/>
    <w:rsid w:val="5C7D3D43"/>
    <w:rsid w:val="5C882C4F"/>
    <w:rsid w:val="5C8962BA"/>
    <w:rsid w:val="5CA70B0A"/>
    <w:rsid w:val="5CBD523A"/>
    <w:rsid w:val="5CCD31A9"/>
    <w:rsid w:val="5CD2475E"/>
    <w:rsid w:val="5CF86CAE"/>
    <w:rsid w:val="5D0B3776"/>
    <w:rsid w:val="5D0E5399"/>
    <w:rsid w:val="5D443020"/>
    <w:rsid w:val="5D47572E"/>
    <w:rsid w:val="5D485FD5"/>
    <w:rsid w:val="5D487E79"/>
    <w:rsid w:val="5D516A2D"/>
    <w:rsid w:val="5D65410C"/>
    <w:rsid w:val="5D6C5E39"/>
    <w:rsid w:val="5D71281A"/>
    <w:rsid w:val="5D7D662C"/>
    <w:rsid w:val="5D954FBB"/>
    <w:rsid w:val="5DDC21AF"/>
    <w:rsid w:val="5DE847B7"/>
    <w:rsid w:val="5E0779FA"/>
    <w:rsid w:val="5E1D5BB1"/>
    <w:rsid w:val="5E1D5F77"/>
    <w:rsid w:val="5E234035"/>
    <w:rsid w:val="5E2911D4"/>
    <w:rsid w:val="5E3F37C0"/>
    <w:rsid w:val="5E4F7B9F"/>
    <w:rsid w:val="5E5D1A5A"/>
    <w:rsid w:val="5E751A3D"/>
    <w:rsid w:val="5E7667BC"/>
    <w:rsid w:val="5E7762CF"/>
    <w:rsid w:val="5E8460C1"/>
    <w:rsid w:val="5EA94272"/>
    <w:rsid w:val="5EBF574D"/>
    <w:rsid w:val="5EC105F5"/>
    <w:rsid w:val="5EC9135A"/>
    <w:rsid w:val="5ED14E5B"/>
    <w:rsid w:val="5EE7181B"/>
    <w:rsid w:val="5EEF7084"/>
    <w:rsid w:val="5EF04B7B"/>
    <w:rsid w:val="5EFF3DE0"/>
    <w:rsid w:val="5F007B24"/>
    <w:rsid w:val="5F035352"/>
    <w:rsid w:val="5F106EAF"/>
    <w:rsid w:val="5F283CA5"/>
    <w:rsid w:val="5F305F32"/>
    <w:rsid w:val="5F425A26"/>
    <w:rsid w:val="5F4E3CB5"/>
    <w:rsid w:val="5F7D1E64"/>
    <w:rsid w:val="5F9374D0"/>
    <w:rsid w:val="5F957DB8"/>
    <w:rsid w:val="5F9F4C71"/>
    <w:rsid w:val="5FAB3991"/>
    <w:rsid w:val="5FCE2093"/>
    <w:rsid w:val="5FDA48B5"/>
    <w:rsid w:val="5FE25384"/>
    <w:rsid w:val="5FE875BC"/>
    <w:rsid w:val="5FEE64FD"/>
    <w:rsid w:val="60582AAA"/>
    <w:rsid w:val="60671E65"/>
    <w:rsid w:val="60680099"/>
    <w:rsid w:val="60720E4D"/>
    <w:rsid w:val="607562A7"/>
    <w:rsid w:val="608664A5"/>
    <w:rsid w:val="608C7B28"/>
    <w:rsid w:val="608F41F2"/>
    <w:rsid w:val="609E6925"/>
    <w:rsid w:val="60BA77CD"/>
    <w:rsid w:val="60C504EE"/>
    <w:rsid w:val="60C63F24"/>
    <w:rsid w:val="60CA2B58"/>
    <w:rsid w:val="60F80C2F"/>
    <w:rsid w:val="613468C2"/>
    <w:rsid w:val="613A48D5"/>
    <w:rsid w:val="61487E7F"/>
    <w:rsid w:val="614C4BCD"/>
    <w:rsid w:val="614F6149"/>
    <w:rsid w:val="61572E4F"/>
    <w:rsid w:val="616128EC"/>
    <w:rsid w:val="616720C6"/>
    <w:rsid w:val="61725619"/>
    <w:rsid w:val="617E294F"/>
    <w:rsid w:val="618649E8"/>
    <w:rsid w:val="618667D5"/>
    <w:rsid w:val="619104F5"/>
    <w:rsid w:val="61A24A94"/>
    <w:rsid w:val="61AB7C65"/>
    <w:rsid w:val="61C3512C"/>
    <w:rsid w:val="61DB7979"/>
    <w:rsid w:val="62073433"/>
    <w:rsid w:val="62086A1C"/>
    <w:rsid w:val="620B3059"/>
    <w:rsid w:val="620D753C"/>
    <w:rsid w:val="62181D46"/>
    <w:rsid w:val="626B7791"/>
    <w:rsid w:val="62721747"/>
    <w:rsid w:val="628762A4"/>
    <w:rsid w:val="628C2933"/>
    <w:rsid w:val="628C4312"/>
    <w:rsid w:val="62AB1D8D"/>
    <w:rsid w:val="62C42917"/>
    <w:rsid w:val="62D9309F"/>
    <w:rsid w:val="62DE5A92"/>
    <w:rsid w:val="62E73481"/>
    <w:rsid w:val="62ED42C9"/>
    <w:rsid w:val="62F0419C"/>
    <w:rsid w:val="62FA55D0"/>
    <w:rsid w:val="631A7E52"/>
    <w:rsid w:val="63200817"/>
    <w:rsid w:val="63234C0F"/>
    <w:rsid w:val="634106EE"/>
    <w:rsid w:val="634B4DB7"/>
    <w:rsid w:val="634C01CF"/>
    <w:rsid w:val="635665B8"/>
    <w:rsid w:val="637A72AA"/>
    <w:rsid w:val="639D6C17"/>
    <w:rsid w:val="63A83A82"/>
    <w:rsid w:val="63C622AB"/>
    <w:rsid w:val="63CB3622"/>
    <w:rsid w:val="63D600F2"/>
    <w:rsid w:val="63E31E9D"/>
    <w:rsid w:val="640434E5"/>
    <w:rsid w:val="64185C22"/>
    <w:rsid w:val="6421337A"/>
    <w:rsid w:val="643B275E"/>
    <w:rsid w:val="64411A38"/>
    <w:rsid w:val="64587275"/>
    <w:rsid w:val="646A5BED"/>
    <w:rsid w:val="64785B52"/>
    <w:rsid w:val="649C45CC"/>
    <w:rsid w:val="64B7270C"/>
    <w:rsid w:val="64C4485F"/>
    <w:rsid w:val="64DA076B"/>
    <w:rsid w:val="64E36924"/>
    <w:rsid w:val="64E9112D"/>
    <w:rsid w:val="65014155"/>
    <w:rsid w:val="65142B38"/>
    <w:rsid w:val="6520621E"/>
    <w:rsid w:val="652D3968"/>
    <w:rsid w:val="653D68E6"/>
    <w:rsid w:val="65630AA9"/>
    <w:rsid w:val="656A3683"/>
    <w:rsid w:val="656A7144"/>
    <w:rsid w:val="657B048C"/>
    <w:rsid w:val="657F70B1"/>
    <w:rsid w:val="65865107"/>
    <w:rsid w:val="659242EE"/>
    <w:rsid w:val="65B0069A"/>
    <w:rsid w:val="65B61ED7"/>
    <w:rsid w:val="65E85F8F"/>
    <w:rsid w:val="65E9533F"/>
    <w:rsid w:val="65F76683"/>
    <w:rsid w:val="65F93869"/>
    <w:rsid w:val="660B2971"/>
    <w:rsid w:val="660B5D8E"/>
    <w:rsid w:val="66224F9D"/>
    <w:rsid w:val="6632531C"/>
    <w:rsid w:val="66582DAF"/>
    <w:rsid w:val="667237CD"/>
    <w:rsid w:val="66953E2E"/>
    <w:rsid w:val="669F7CBA"/>
    <w:rsid w:val="66A0646F"/>
    <w:rsid w:val="66AD4B10"/>
    <w:rsid w:val="66AE39AD"/>
    <w:rsid w:val="66B00768"/>
    <w:rsid w:val="66FB73E6"/>
    <w:rsid w:val="670A4B9E"/>
    <w:rsid w:val="67171C12"/>
    <w:rsid w:val="671C012D"/>
    <w:rsid w:val="672E507D"/>
    <w:rsid w:val="673936D7"/>
    <w:rsid w:val="67517AFA"/>
    <w:rsid w:val="67805AAD"/>
    <w:rsid w:val="67A56525"/>
    <w:rsid w:val="67AB1B26"/>
    <w:rsid w:val="67B265D1"/>
    <w:rsid w:val="67B30E44"/>
    <w:rsid w:val="67C23B71"/>
    <w:rsid w:val="67C501C3"/>
    <w:rsid w:val="67E55296"/>
    <w:rsid w:val="67E87F7F"/>
    <w:rsid w:val="67F662AE"/>
    <w:rsid w:val="68080A2F"/>
    <w:rsid w:val="681E7CFD"/>
    <w:rsid w:val="68221B5F"/>
    <w:rsid w:val="682633F9"/>
    <w:rsid w:val="68270406"/>
    <w:rsid w:val="68273145"/>
    <w:rsid w:val="682A5BF7"/>
    <w:rsid w:val="68535738"/>
    <w:rsid w:val="68721156"/>
    <w:rsid w:val="687C423F"/>
    <w:rsid w:val="688C2BEF"/>
    <w:rsid w:val="68A57DF1"/>
    <w:rsid w:val="68BC3779"/>
    <w:rsid w:val="68C25D28"/>
    <w:rsid w:val="68D033F3"/>
    <w:rsid w:val="68D308A2"/>
    <w:rsid w:val="68DC689F"/>
    <w:rsid w:val="68E0139D"/>
    <w:rsid w:val="68E0170A"/>
    <w:rsid w:val="68F302CC"/>
    <w:rsid w:val="68FB062A"/>
    <w:rsid w:val="69123CE1"/>
    <w:rsid w:val="69141C2E"/>
    <w:rsid w:val="69184264"/>
    <w:rsid w:val="693350FB"/>
    <w:rsid w:val="694E4FDE"/>
    <w:rsid w:val="695479FA"/>
    <w:rsid w:val="696F1E02"/>
    <w:rsid w:val="69705CB0"/>
    <w:rsid w:val="69762AAC"/>
    <w:rsid w:val="697826BD"/>
    <w:rsid w:val="69835492"/>
    <w:rsid w:val="69874F79"/>
    <w:rsid w:val="69997553"/>
    <w:rsid w:val="69AA23F5"/>
    <w:rsid w:val="69BF7EC3"/>
    <w:rsid w:val="69D330B4"/>
    <w:rsid w:val="69DE3BF6"/>
    <w:rsid w:val="69F07357"/>
    <w:rsid w:val="69F432B5"/>
    <w:rsid w:val="6A1B5C00"/>
    <w:rsid w:val="6A2835EC"/>
    <w:rsid w:val="6A291175"/>
    <w:rsid w:val="6A2C34AA"/>
    <w:rsid w:val="6A38039F"/>
    <w:rsid w:val="6A5C7285"/>
    <w:rsid w:val="6A6459AF"/>
    <w:rsid w:val="6A820F91"/>
    <w:rsid w:val="6A824374"/>
    <w:rsid w:val="6A87407F"/>
    <w:rsid w:val="6A99127D"/>
    <w:rsid w:val="6AB8004E"/>
    <w:rsid w:val="6AB861B4"/>
    <w:rsid w:val="6AD96CB7"/>
    <w:rsid w:val="6B064579"/>
    <w:rsid w:val="6B0F3C1E"/>
    <w:rsid w:val="6B13077A"/>
    <w:rsid w:val="6B1424DD"/>
    <w:rsid w:val="6B1B7F24"/>
    <w:rsid w:val="6B221E5F"/>
    <w:rsid w:val="6B272595"/>
    <w:rsid w:val="6B2B1CE6"/>
    <w:rsid w:val="6B2F5E6F"/>
    <w:rsid w:val="6B4629BA"/>
    <w:rsid w:val="6B483650"/>
    <w:rsid w:val="6B4C3CF7"/>
    <w:rsid w:val="6B68318B"/>
    <w:rsid w:val="6B6B5CD2"/>
    <w:rsid w:val="6B711394"/>
    <w:rsid w:val="6B753F7C"/>
    <w:rsid w:val="6B7C0E69"/>
    <w:rsid w:val="6B882178"/>
    <w:rsid w:val="6BA078E7"/>
    <w:rsid w:val="6BB36B04"/>
    <w:rsid w:val="6BC576AE"/>
    <w:rsid w:val="6BC82F86"/>
    <w:rsid w:val="6BCC1277"/>
    <w:rsid w:val="6BE4278E"/>
    <w:rsid w:val="6BEA1F9C"/>
    <w:rsid w:val="6BFC4F57"/>
    <w:rsid w:val="6C1F76C2"/>
    <w:rsid w:val="6C4E1244"/>
    <w:rsid w:val="6C5B6EEC"/>
    <w:rsid w:val="6C5D2D2B"/>
    <w:rsid w:val="6C6E3EA2"/>
    <w:rsid w:val="6C7765FE"/>
    <w:rsid w:val="6C8008DC"/>
    <w:rsid w:val="6CA141C3"/>
    <w:rsid w:val="6CAA5E4D"/>
    <w:rsid w:val="6CC60DC9"/>
    <w:rsid w:val="6CD44DB3"/>
    <w:rsid w:val="6CDC7845"/>
    <w:rsid w:val="6D000FC4"/>
    <w:rsid w:val="6D020591"/>
    <w:rsid w:val="6D031778"/>
    <w:rsid w:val="6D08005D"/>
    <w:rsid w:val="6D0A7C83"/>
    <w:rsid w:val="6D106FB7"/>
    <w:rsid w:val="6D1C3F9C"/>
    <w:rsid w:val="6D2B7848"/>
    <w:rsid w:val="6D3355E5"/>
    <w:rsid w:val="6D362E1D"/>
    <w:rsid w:val="6D4A67A4"/>
    <w:rsid w:val="6D517127"/>
    <w:rsid w:val="6D5D5CC1"/>
    <w:rsid w:val="6D6B744D"/>
    <w:rsid w:val="6D7372E1"/>
    <w:rsid w:val="6DA07DE7"/>
    <w:rsid w:val="6DA721E6"/>
    <w:rsid w:val="6DBE5CD2"/>
    <w:rsid w:val="6DE374BA"/>
    <w:rsid w:val="6DEC6B1D"/>
    <w:rsid w:val="6DF8220F"/>
    <w:rsid w:val="6DFB32F7"/>
    <w:rsid w:val="6E1A3D81"/>
    <w:rsid w:val="6E20601C"/>
    <w:rsid w:val="6E2A5041"/>
    <w:rsid w:val="6E2C4FDA"/>
    <w:rsid w:val="6E3A38A7"/>
    <w:rsid w:val="6E41574E"/>
    <w:rsid w:val="6E46160C"/>
    <w:rsid w:val="6E4660D0"/>
    <w:rsid w:val="6E4A043D"/>
    <w:rsid w:val="6E6F129A"/>
    <w:rsid w:val="6E8C7E9A"/>
    <w:rsid w:val="6E917A47"/>
    <w:rsid w:val="6EA7226C"/>
    <w:rsid w:val="6EB13143"/>
    <w:rsid w:val="6EBF0F07"/>
    <w:rsid w:val="6EC3545C"/>
    <w:rsid w:val="6ECA78B1"/>
    <w:rsid w:val="6ECA7976"/>
    <w:rsid w:val="6EE755DB"/>
    <w:rsid w:val="6EFD5C0F"/>
    <w:rsid w:val="6F0211AE"/>
    <w:rsid w:val="6F081FAF"/>
    <w:rsid w:val="6F252E0D"/>
    <w:rsid w:val="6F257D94"/>
    <w:rsid w:val="6F416495"/>
    <w:rsid w:val="6F4379DD"/>
    <w:rsid w:val="6F6A055F"/>
    <w:rsid w:val="6F6A09C1"/>
    <w:rsid w:val="6F733EF8"/>
    <w:rsid w:val="6F7478CD"/>
    <w:rsid w:val="6F8310B0"/>
    <w:rsid w:val="6F913AF8"/>
    <w:rsid w:val="6FA66C5B"/>
    <w:rsid w:val="6FAF4A0F"/>
    <w:rsid w:val="6FB917DB"/>
    <w:rsid w:val="6FC80B1A"/>
    <w:rsid w:val="6FD412E1"/>
    <w:rsid w:val="6FEA1D9F"/>
    <w:rsid w:val="6FED375E"/>
    <w:rsid w:val="6FEE7DF4"/>
    <w:rsid w:val="6FF43A17"/>
    <w:rsid w:val="6FF473BA"/>
    <w:rsid w:val="6FFC588A"/>
    <w:rsid w:val="7005672E"/>
    <w:rsid w:val="70233526"/>
    <w:rsid w:val="70306C17"/>
    <w:rsid w:val="70466008"/>
    <w:rsid w:val="70754C0A"/>
    <w:rsid w:val="70810F20"/>
    <w:rsid w:val="70984F7D"/>
    <w:rsid w:val="709970EF"/>
    <w:rsid w:val="709C1A8C"/>
    <w:rsid w:val="70B27B70"/>
    <w:rsid w:val="70C4100E"/>
    <w:rsid w:val="70CE09C3"/>
    <w:rsid w:val="70E41A32"/>
    <w:rsid w:val="70EA0F93"/>
    <w:rsid w:val="71147566"/>
    <w:rsid w:val="71287630"/>
    <w:rsid w:val="712C1AEB"/>
    <w:rsid w:val="713148BC"/>
    <w:rsid w:val="71371CF9"/>
    <w:rsid w:val="713E5AE7"/>
    <w:rsid w:val="713E6D10"/>
    <w:rsid w:val="716F1C44"/>
    <w:rsid w:val="717E7A69"/>
    <w:rsid w:val="71806D32"/>
    <w:rsid w:val="71AD6FAE"/>
    <w:rsid w:val="71AE30B5"/>
    <w:rsid w:val="71C27EC8"/>
    <w:rsid w:val="71C33DD0"/>
    <w:rsid w:val="71ED0C80"/>
    <w:rsid w:val="71FD4A8F"/>
    <w:rsid w:val="72005AE6"/>
    <w:rsid w:val="72104AC2"/>
    <w:rsid w:val="72124041"/>
    <w:rsid w:val="72135B21"/>
    <w:rsid w:val="721601E1"/>
    <w:rsid w:val="722A203F"/>
    <w:rsid w:val="72337620"/>
    <w:rsid w:val="723E49EC"/>
    <w:rsid w:val="723F5BDB"/>
    <w:rsid w:val="72483F41"/>
    <w:rsid w:val="72570EA7"/>
    <w:rsid w:val="726B63A9"/>
    <w:rsid w:val="72726B56"/>
    <w:rsid w:val="727355E2"/>
    <w:rsid w:val="729F221F"/>
    <w:rsid w:val="72A11E23"/>
    <w:rsid w:val="72A322A5"/>
    <w:rsid w:val="72AF0917"/>
    <w:rsid w:val="72B3210B"/>
    <w:rsid w:val="72BC3936"/>
    <w:rsid w:val="72CF7ADB"/>
    <w:rsid w:val="72E75951"/>
    <w:rsid w:val="72E91B02"/>
    <w:rsid w:val="72F9284C"/>
    <w:rsid w:val="72FF3233"/>
    <w:rsid w:val="732650C3"/>
    <w:rsid w:val="733C616F"/>
    <w:rsid w:val="733E4343"/>
    <w:rsid w:val="7340334A"/>
    <w:rsid w:val="734A7EB9"/>
    <w:rsid w:val="73586DC3"/>
    <w:rsid w:val="735B05AA"/>
    <w:rsid w:val="736811C4"/>
    <w:rsid w:val="73725CC7"/>
    <w:rsid w:val="739B35DE"/>
    <w:rsid w:val="73B01FAF"/>
    <w:rsid w:val="73BF6224"/>
    <w:rsid w:val="73DA0AAB"/>
    <w:rsid w:val="73DE2F89"/>
    <w:rsid w:val="73F81D13"/>
    <w:rsid w:val="73FA2A89"/>
    <w:rsid w:val="73FF32CB"/>
    <w:rsid w:val="7405758D"/>
    <w:rsid w:val="74301EA6"/>
    <w:rsid w:val="74386E56"/>
    <w:rsid w:val="7439010A"/>
    <w:rsid w:val="744945BB"/>
    <w:rsid w:val="745255A5"/>
    <w:rsid w:val="74622F2F"/>
    <w:rsid w:val="748F0005"/>
    <w:rsid w:val="7497088D"/>
    <w:rsid w:val="74A30572"/>
    <w:rsid w:val="74C73FE3"/>
    <w:rsid w:val="74DC5A55"/>
    <w:rsid w:val="74E1398B"/>
    <w:rsid w:val="74E17B3A"/>
    <w:rsid w:val="74E71A82"/>
    <w:rsid w:val="74F64E3F"/>
    <w:rsid w:val="74FD1B30"/>
    <w:rsid w:val="751459A9"/>
    <w:rsid w:val="751D0E17"/>
    <w:rsid w:val="7524026A"/>
    <w:rsid w:val="754A05DC"/>
    <w:rsid w:val="75942A40"/>
    <w:rsid w:val="75A023F2"/>
    <w:rsid w:val="75BE534B"/>
    <w:rsid w:val="75C5780F"/>
    <w:rsid w:val="75ED5C36"/>
    <w:rsid w:val="75FB2A56"/>
    <w:rsid w:val="75FF18EA"/>
    <w:rsid w:val="76023351"/>
    <w:rsid w:val="76071CB5"/>
    <w:rsid w:val="761730DD"/>
    <w:rsid w:val="762514F1"/>
    <w:rsid w:val="762C5C47"/>
    <w:rsid w:val="76383684"/>
    <w:rsid w:val="765512FB"/>
    <w:rsid w:val="765E31FB"/>
    <w:rsid w:val="766477E6"/>
    <w:rsid w:val="76687032"/>
    <w:rsid w:val="7672045B"/>
    <w:rsid w:val="76766B2A"/>
    <w:rsid w:val="767F2D37"/>
    <w:rsid w:val="76895AED"/>
    <w:rsid w:val="7698131F"/>
    <w:rsid w:val="76984EB1"/>
    <w:rsid w:val="76991A17"/>
    <w:rsid w:val="76BA50E5"/>
    <w:rsid w:val="76C42FE0"/>
    <w:rsid w:val="76D42781"/>
    <w:rsid w:val="76D81D5A"/>
    <w:rsid w:val="77067FBD"/>
    <w:rsid w:val="771672D4"/>
    <w:rsid w:val="771A06F0"/>
    <w:rsid w:val="77236D53"/>
    <w:rsid w:val="772A5AB9"/>
    <w:rsid w:val="772B118E"/>
    <w:rsid w:val="772D05F6"/>
    <w:rsid w:val="774D3DC3"/>
    <w:rsid w:val="776275C4"/>
    <w:rsid w:val="776A22E2"/>
    <w:rsid w:val="776D6580"/>
    <w:rsid w:val="778C04E9"/>
    <w:rsid w:val="778F2765"/>
    <w:rsid w:val="77B360B7"/>
    <w:rsid w:val="77D27120"/>
    <w:rsid w:val="77E22291"/>
    <w:rsid w:val="78125407"/>
    <w:rsid w:val="78163E0D"/>
    <w:rsid w:val="78300AEE"/>
    <w:rsid w:val="784F14F7"/>
    <w:rsid w:val="78507637"/>
    <w:rsid w:val="7859168E"/>
    <w:rsid w:val="7867796C"/>
    <w:rsid w:val="787948D0"/>
    <w:rsid w:val="787F40EE"/>
    <w:rsid w:val="78807E08"/>
    <w:rsid w:val="78985EAB"/>
    <w:rsid w:val="789E5F80"/>
    <w:rsid w:val="78B4709E"/>
    <w:rsid w:val="78B57BD3"/>
    <w:rsid w:val="78C14DB7"/>
    <w:rsid w:val="78C243BF"/>
    <w:rsid w:val="78D81144"/>
    <w:rsid w:val="78F15098"/>
    <w:rsid w:val="78F669DD"/>
    <w:rsid w:val="79047D24"/>
    <w:rsid w:val="792073FF"/>
    <w:rsid w:val="79255B1E"/>
    <w:rsid w:val="79327BE3"/>
    <w:rsid w:val="793423B9"/>
    <w:rsid w:val="794674FF"/>
    <w:rsid w:val="794F5E9D"/>
    <w:rsid w:val="7950305C"/>
    <w:rsid w:val="79596ED9"/>
    <w:rsid w:val="796606AB"/>
    <w:rsid w:val="797279F9"/>
    <w:rsid w:val="798B6440"/>
    <w:rsid w:val="79976759"/>
    <w:rsid w:val="799C0BFC"/>
    <w:rsid w:val="79B50C6F"/>
    <w:rsid w:val="79D319E8"/>
    <w:rsid w:val="79E06AB0"/>
    <w:rsid w:val="7A0527D6"/>
    <w:rsid w:val="7A073B40"/>
    <w:rsid w:val="7A087A32"/>
    <w:rsid w:val="7A196181"/>
    <w:rsid w:val="7A1E5EC2"/>
    <w:rsid w:val="7A1E66A7"/>
    <w:rsid w:val="7A38195E"/>
    <w:rsid w:val="7A3E3C86"/>
    <w:rsid w:val="7A421F6B"/>
    <w:rsid w:val="7A9C129D"/>
    <w:rsid w:val="7AAC617C"/>
    <w:rsid w:val="7AB92E5A"/>
    <w:rsid w:val="7ABB0835"/>
    <w:rsid w:val="7ABE7A74"/>
    <w:rsid w:val="7AC3193E"/>
    <w:rsid w:val="7AD825ED"/>
    <w:rsid w:val="7AE7522B"/>
    <w:rsid w:val="7AEF26DB"/>
    <w:rsid w:val="7AF11E4A"/>
    <w:rsid w:val="7AFC756B"/>
    <w:rsid w:val="7B0A616D"/>
    <w:rsid w:val="7B1530FA"/>
    <w:rsid w:val="7B1819D9"/>
    <w:rsid w:val="7B186F11"/>
    <w:rsid w:val="7B3D06A3"/>
    <w:rsid w:val="7B49323C"/>
    <w:rsid w:val="7B6A65F9"/>
    <w:rsid w:val="7B73525D"/>
    <w:rsid w:val="7B754167"/>
    <w:rsid w:val="7B841502"/>
    <w:rsid w:val="7B856B69"/>
    <w:rsid w:val="7BA51FAA"/>
    <w:rsid w:val="7BA71431"/>
    <w:rsid w:val="7BAB65F0"/>
    <w:rsid w:val="7BC5601A"/>
    <w:rsid w:val="7BCA1C5B"/>
    <w:rsid w:val="7BE067C0"/>
    <w:rsid w:val="7BF65B6C"/>
    <w:rsid w:val="7BF7355E"/>
    <w:rsid w:val="7C041716"/>
    <w:rsid w:val="7C0F6F8D"/>
    <w:rsid w:val="7C1832E2"/>
    <w:rsid w:val="7C2C3168"/>
    <w:rsid w:val="7C60764A"/>
    <w:rsid w:val="7C7F077B"/>
    <w:rsid w:val="7C922E81"/>
    <w:rsid w:val="7C9A2C55"/>
    <w:rsid w:val="7CB570A3"/>
    <w:rsid w:val="7CC85D2E"/>
    <w:rsid w:val="7CFA0A3C"/>
    <w:rsid w:val="7CFB25C5"/>
    <w:rsid w:val="7D024938"/>
    <w:rsid w:val="7D0432EA"/>
    <w:rsid w:val="7D071A67"/>
    <w:rsid w:val="7D0A6DE3"/>
    <w:rsid w:val="7D153027"/>
    <w:rsid w:val="7D154C73"/>
    <w:rsid w:val="7D240558"/>
    <w:rsid w:val="7D4B3AFA"/>
    <w:rsid w:val="7D4E4391"/>
    <w:rsid w:val="7D5F5C1A"/>
    <w:rsid w:val="7D6A50D1"/>
    <w:rsid w:val="7D6C1F0C"/>
    <w:rsid w:val="7D6F7C2B"/>
    <w:rsid w:val="7D743FE8"/>
    <w:rsid w:val="7D7B5BD6"/>
    <w:rsid w:val="7D812A55"/>
    <w:rsid w:val="7D9828AA"/>
    <w:rsid w:val="7D9D0EE7"/>
    <w:rsid w:val="7DA15DD8"/>
    <w:rsid w:val="7DA54E7B"/>
    <w:rsid w:val="7DAD4B1E"/>
    <w:rsid w:val="7DCE4670"/>
    <w:rsid w:val="7DDB6F5C"/>
    <w:rsid w:val="7DDF08B2"/>
    <w:rsid w:val="7DDF7781"/>
    <w:rsid w:val="7DE021C6"/>
    <w:rsid w:val="7E2F58AE"/>
    <w:rsid w:val="7E464EB2"/>
    <w:rsid w:val="7E5724CE"/>
    <w:rsid w:val="7E5B4BE3"/>
    <w:rsid w:val="7E64148F"/>
    <w:rsid w:val="7E6C79E8"/>
    <w:rsid w:val="7E6E14DC"/>
    <w:rsid w:val="7E850AF6"/>
    <w:rsid w:val="7E991DC7"/>
    <w:rsid w:val="7EAB72D9"/>
    <w:rsid w:val="7EB90785"/>
    <w:rsid w:val="7EE97E69"/>
    <w:rsid w:val="7EEF15E6"/>
    <w:rsid w:val="7F0F3C4C"/>
    <w:rsid w:val="7F102E25"/>
    <w:rsid w:val="7F2B3490"/>
    <w:rsid w:val="7F3D2AA6"/>
    <w:rsid w:val="7F81479C"/>
    <w:rsid w:val="7F961536"/>
    <w:rsid w:val="7FB772DD"/>
    <w:rsid w:val="7FCA15B7"/>
    <w:rsid w:val="7FD535A7"/>
    <w:rsid w:val="7FD5728C"/>
    <w:rsid w:val="7FE66A22"/>
    <w:rsid w:val="7FED0787"/>
    <w:rsid w:val="7FF352B9"/>
    <w:rsid w:val="7FF92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楷体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link w:val="31"/>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outlineLvl w:val="2"/>
    </w:pPr>
    <w:rPr>
      <w:rFonts w:ascii="宋体" w:hAnsi="宋体" w:eastAsia="黑体"/>
      <w:bCs/>
      <w:sz w:val="24"/>
      <w:szCs w:val="28"/>
    </w:rPr>
  </w:style>
  <w:style w:type="paragraph" w:styleId="5">
    <w:name w:val="heading 5"/>
    <w:basedOn w:val="1"/>
    <w:next w:val="1"/>
    <w:unhideWhenUsed/>
    <w:qFormat/>
    <w:uiPriority w:val="9"/>
    <w:pPr>
      <w:keepNext/>
      <w:keepLines/>
      <w:spacing w:before="280" w:after="290" w:line="376" w:lineRule="auto"/>
      <w:outlineLvl w:val="4"/>
    </w:pPr>
    <w:rPr>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annotation text"/>
    <w:basedOn w:val="1"/>
    <w:qFormat/>
    <w:uiPriority w:val="0"/>
    <w:pPr>
      <w:jc w:val="left"/>
    </w:pPr>
  </w:style>
  <w:style w:type="paragraph" w:styleId="8">
    <w:name w:val="Body Text 3"/>
    <w:basedOn w:val="1"/>
    <w:qFormat/>
    <w:uiPriority w:val="0"/>
    <w:pPr>
      <w:spacing w:beforeLines="50"/>
    </w:pPr>
    <w:rPr>
      <w:rFonts w:ascii="宋体" w:hAnsi="宋体"/>
      <w:szCs w:val="20"/>
    </w:rPr>
  </w:style>
  <w:style w:type="paragraph" w:styleId="9">
    <w:name w:val="Body Text"/>
    <w:basedOn w:val="1"/>
    <w:qFormat/>
    <w:uiPriority w:val="0"/>
    <w:pPr>
      <w:spacing w:after="120"/>
    </w:pPr>
  </w:style>
  <w:style w:type="paragraph" w:styleId="10">
    <w:name w:val="Body Text Indent"/>
    <w:basedOn w:val="1"/>
    <w:next w:val="11"/>
    <w:qFormat/>
    <w:uiPriority w:val="0"/>
    <w:pPr>
      <w:spacing w:after="120"/>
      <w:ind w:left="420" w:leftChars="200"/>
    </w:pPr>
  </w:style>
  <w:style w:type="paragraph" w:styleId="11">
    <w:name w:val="envelope return"/>
    <w:basedOn w:val="1"/>
    <w:unhideWhenUsed/>
    <w:qFormat/>
    <w:uiPriority w:val="99"/>
    <w:pPr>
      <w:snapToGrid w:val="0"/>
      <w:ind w:firstLine="200"/>
    </w:pPr>
    <w:rPr>
      <w:rFonts w:ascii="Arial" w:hAnsi="Arial" w:cs="Arial"/>
      <w:szCs w:val="20"/>
    </w:rPr>
  </w:style>
  <w:style w:type="paragraph" w:styleId="12">
    <w:name w:val="Plain Text"/>
    <w:basedOn w:val="1"/>
    <w:qFormat/>
    <w:uiPriority w:val="0"/>
    <w:rPr>
      <w:rFonts w:ascii="宋体" w:hAnsi="Courier New"/>
      <w:szCs w:val="20"/>
    </w:rPr>
  </w:style>
  <w:style w:type="paragraph" w:styleId="13">
    <w:name w:val="Balloon Text"/>
    <w:basedOn w:val="1"/>
    <w:link w:val="39"/>
    <w:qFormat/>
    <w:uiPriority w:val="0"/>
    <w:rPr>
      <w:sz w:val="18"/>
      <w:szCs w:val="18"/>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qFormat/>
    <w:uiPriority w:val="39"/>
    <w:pPr>
      <w:spacing w:before="120" w:after="120"/>
      <w:jc w:val="left"/>
    </w:pPr>
    <w:rPr>
      <w:rFonts w:cs="Calibri"/>
      <w:b/>
      <w:bCs/>
      <w:caps/>
      <w:sz w:val="20"/>
      <w:szCs w:val="20"/>
    </w:rPr>
  </w:style>
  <w:style w:type="paragraph" w:styleId="17">
    <w:name w:val="footnote text"/>
    <w:basedOn w:val="1"/>
    <w:unhideWhenUsed/>
    <w:qFormat/>
    <w:uiPriority w:val="0"/>
    <w:pPr>
      <w:snapToGrid w:val="0"/>
      <w:jc w:val="left"/>
    </w:pPr>
    <w:rPr>
      <w:sz w:val="18"/>
      <w:szCs w:val="18"/>
    </w:rPr>
  </w:style>
  <w:style w:type="paragraph" w:styleId="18">
    <w:name w:val="Normal (Web)"/>
    <w:basedOn w:val="1"/>
    <w:qFormat/>
    <w:uiPriority w:val="99"/>
    <w:pPr>
      <w:spacing w:beforeAutospacing="1" w:afterAutospacing="1"/>
    </w:pPr>
    <w:rPr>
      <w:rFonts w:ascii="宋体" w:hAnsi="宋体" w:eastAsia="宋体" w:cs="宋体"/>
      <w:sz w:val="24"/>
    </w:rPr>
  </w:style>
  <w:style w:type="paragraph" w:styleId="19">
    <w:name w:val="index 1"/>
    <w:basedOn w:val="1"/>
    <w:next w:val="1"/>
    <w:semiHidden/>
    <w:qFormat/>
    <w:uiPriority w:val="0"/>
    <w:pPr>
      <w:spacing w:line="220" w:lineRule="exact"/>
      <w:jc w:val="center"/>
    </w:pPr>
    <w:rPr>
      <w:rFonts w:ascii="仿宋_GB2312" w:eastAsia="仿宋_GB2312"/>
      <w:szCs w:val="21"/>
    </w:rPr>
  </w:style>
  <w:style w:type="paragraph" w:styleId="20">
    <w:name w:val="Title"/>
    <w:basedOn w:val="1"/>
    <w:next w:val="1"/>
    <w:qFormat/>
    <w:uiPriority w:val="0"/>
    <w:pPr>
      <w:jc w:val="center"/>
      <w:outlineLvl w:val="0"/>
    </w:pPr>
    <w:rPr>
      <w:rFonts w:eastAsia="方正小标宋简体"/>
      <w:sz w:val="44"/>
      <w:szCs w:val="44"/>
    </w:rPr>
  </w:style>
  <w:style w:type="table" w:styleId="22">
    <w:name w:val="Table Grid"/>
    <w:basedOn w:val="21"/>
    <w:qFormat/>
    <w:uiPriority w:val="0"/>
    <w:pPr>
      <w:widowControl w:val="0"/>
      <w:jc w:val="both"/>
    </w:pPr>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annotation reference"/>
    <w:qFormat/>
    <w:uiPriority w:val="0"/>
    <w:rPr>
      <w:sz w:val="21"/>
      <w:szCs w:val="21"/>
    </w:rPr>
  </w:style>
  <w:style w:type="character" w:styleId="26">
    <w:name w:val="footnote reference"/>
    <w:qFormat/>
    <w:uiPriority w:val="0"/>
    <w:rPr>
      <w:vertAlign w:val="superscript"/>
    </w:rPr>
  </w:style>
  <w:style w:type="paragraph" w:customStyle="1" w:styleId="27">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8">
    <w:name w:val="表格"/>
    <w:basedOn w:val="1"/>
    <w:qFormat/>
    <w:uiPriority w:val="0"/>
    <w:pPr>
      <w:textAlignment w:val="center"/>
    </w:pPr>
    <w:rPr>
      <w:rFonts w:ascii="华文细黑" w:hAnsi="华文细黑"/>
      <w:kern w:val="0"/>
      <w:szCs w:val="20"/>
    </w:rPr>
  </w:style>
  <w:style w:type="paragraph" w:customStyle="1" w:styleId="29">
    <w:name w:val="正文 题目"/>
    <w:basedOn w:val="1"/>
    <w:qFormat/>
    <w:uiPriority w:val="0"/>
    <w:pPr>
      <w:jc w:val="center"/>
    </w:pPr>
    <w:rPr>
      <w:rFonts w:ascii="黑体" w:hAnsi="黑体" w:eastAsia="黑体"/>
      <w:sz w:val="28"/>
    </w:rPr>
  </w:style>
  <w:style w:type="paragraph" w:customStyle="1" w:styleId="30">
    <w:name w:val="列出段落1"/>
    <w:basedOn w:val="1"/>
    <w:qFormat/>
    <w:uiPriority w:val="99"/>
    <w:rPr>
      <w:rFonts w:ascii="Times New Roman" w:hAnsi="Times New Roman"/>
    </w:rPr>
  </w:style>
  <w:style w:type="character" w:customStyle="1" w:styleId="31">
    <w:name w:val="标题 2 字符"/>
    <w:link w:val="3"/>
    <w:qFormat/>
    <w:uiPriority w:val="0"/>
    <w:rPr>
      <w:rFonts w:ascii="Arial" w:hAnsi="Arial"/>
      <w:b/>
      <w:bCs/>
      <w:sz w:val="28"/>
      <w:szCs w:val="32"/>
    </w:rPr>
  </w:style>
  <w:style w:type="paragraph" w:customStyle="1" w:styleId="32">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33">
    <w:name w:val="WPSOffice手动目录 1"/>
    <w:qFormat/>
    <w:uiPriority w:val="0"/>
    <w:rPr>
      <w:rFonts w:asciiTheme="minorHAnsi" w:hAnsiTheme="minorHAnsi" w:eastAsiaTheme="minorEastAsia" w:cstheme="minorBidi"/>
      <w:lang w:val="en-US" w:eastAsia="zh-CN" w:bidi="ar-SA"/>
    </w:rPr>
  </w:style>
  <w:style w:type="paragraph" w:customStyle="1" w:styleId="34">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35">
    <w:name w:val="font21"/>
    <w:basedOn w:val="23"/>
    <w:qFormat/>
    <w:uiPriority w:val="0"/>
    <w:rPr>
      <w:rFonts w:hint="eastAsia" w:ascii="宋体" w:hAnsi="宋体" w:eastAsia="宋体" w:cs="宋体"/>
      <w:color w:val="000000"/>
      <w:sz w:val="24"/>
      <w:szCs w:val="24"/>
      <w:u w:val="none"/>
    </w:rPr>
  </w:style>
  <w:style w:type="character" w:customStyle="1" w:styleId="36">
    <w:name w:val="font01"/>
    <w:basedOn w:val="23"/>
    <w:qFormat/>
    <w:uiPriority w:val="0"/>
    <w:rPr>
      <w:rFonts w:hint="default" w:ascii="Times New Roman" w:hAnsi="Times New Roman" w:cs="Times New Roman"/>
      <w:color w:val="000000"/>
      <w:sz w:val="24"/>
      <w:szCs w:val="24"/>
      <w:u w:val="none"/>
    </w:rPr>
  </w:style>
  <w:style w:type="character" w:customStyle="1" w:styleId="37">
    <w:name w:val="font11"/>
    <w:basedOn w:val="23"/>
    <w:qFormat/>
    <w:uiPriority w:val="0"/>
    <w:rPr>
      <w:rFonts w:hint="default" w:ascii="Times New Roman" w:hAnsi="Times New Roman" w:cs="Times New Roman"/>
      <w:color w:val="000000"/>
      <w:sz w:val="20"/>
      <w:szCs w:val="20"/>
      <w:u w:val="none"/>
    </w:rPr>
  </w:style>
  <w:style w:type="character" w:customStyle="1" w:styleId="38">
    <w:name w:val="font31"/>
    <w:basedOn w:val="23"/>
    <w:qFormat/>
    <w:uiPriority w:val="0"/>
    <w:rPr>
      <w:rFonts w:hint="eastAsia" w:ascii="宋体" w:hAnsi="宋体" w:eastAsia="宋体" w:cs="宋体"/>
      <w:color w:val="000000"/>
      <w:sz w:val="20"/>
      <w:szCs w:val="20"/>
      <w:u w:val="none"/>
    </w:rPr>
  </w:style>
  <w:style w:type="character" w:customStyle="1" w:styleId="39">
    <w:name w:val="批注框文本 字符"/>
    <w:basedOn w:val="23"/>
    <w:link w:val="1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41</Pages>
  <Words>10175</Words>
  <Characters>10929</Characters>
  <Lines>98</Lines>
  <Paragraphs>27</Paragraphs>
  <TotalTime>95</TotalTime>
  <ScaleCrop>false</ScaleCrop>
  <LinksUpToDate>false</LinksUpToDate>
  <CharactersWithSpaces>12855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2020-10-09T06:52:00Z</dcterms:created>
  <dc:creator>huajie</dc:creator>
  <cp:lastModifiedBy>费高波</cp:lastModifiedBy>
  <dcterms:modified xsi:type="dcterms:W3CDTF">2022-07-19T09:09:10Z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161B537286F14E539398D79B1E295DC4</vt:lpwstr>
  </property>
</Properties>
</file>